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F8" w:rsidRDefault="00CA344C" w:rsidP="00CA344C">
      <w:pPr>
        <w:spacing w:line="276" w:lineRule="auto"/>
        <w:jc w:val="both"/>
        <w:rPr>
          <w:b/>
          <w:color w:val="5B9BD5" w:themeColor="accent1"/>
          <w:sz w:val="28"/>
          <w:szCs w:val="28"/>
        </w:rPr>
      </w:pPr>
      <w:r w:rsidRPr="00FF3050">
        <w:rPr>
          <w:b/>
          <w:color w:val="5B9BD5" w:themeColor="accent1"/>
          <w:sz w:val="28"/>
          <w:szCs w:val="28"/>
        </w:rPr>
        <w:t>FACTORES ASOCIADOS AL RENDIMIENTO ACADÉMICO. CASO DE ESTUDIO DE LA CARRERA DE ADMINISTRACIÓN DE EMPRESAS DE LA UNIVERSIDAD POLITÉCNICA ESTATAL DEL CARCHI</w:t>
      </w:r>
    </w:p>
    <w:p w:rsidR="00CA344C" w:rsidRPr="00CA344C" w:rsidRDefault="00CA344C" w:rsidP="00CA344C">
      <w:pPr>
        <w:spacing w:after="0" w:line="240" w:lineRule="auto"/>
        <w:jc w:val="both"/>
        <w:rPr>
          <w:i/>
          <w:sz w:val="24"/>
          <w:lang w:val="en-US"/>
        </w:rPr>
      </w:pPr>
      <w:r w:rsidRPr="00CA344C">
        <w:rPr>
          <w:i/>
          <w:sz w:val="24"/>
          <w:lang w:val="en-US"/>
        </w:rPr>
        <w:t>FACTORS ASSOCIATED WITH ACADEMIC PERFORMANCE. CASE STUDY OF THE BUSINESS ADMINISTRATION CAREER OF THE UNIVERSIDAD POLITÉCNICA ESTATAL DEL CARCHI</w:t>
      </w:r>
    </w:p>
    <w:p w:rsidR="00CA344C" w:rsidRPr="008F4CAA" w:rsidRDefault="00CA344C" w:rsidP="00E272AE">
      <w:pPr>
        <w:spacing w:after="0" w:line="240" w:lineRule="auto"/>
        <w:jc w:val="right"/>
        <w:rPr>
          <w:sz w:val="24"/>
          <w:lang w:val="en-US"/>
        </w:rPr>
      </w:pPr>
    </w:p>
    <w:p w:rsidR="00E272AE" w:rsidRPr="00CA344C" w:rsidRDefault="00CA344C" w:rsidP="00CA344C">
      <w:pPr>
        <w:spacing w:after="0" w:line="240" w:lineRule="auto"/>
        <w:jc w:val="both"/>
        <w:rPr>
          <w:b/>
          <w:sz w:val="24"/>
        </w:rPr>
      </w:pPr>
      <w:r>
        <w:rPr>
          <w:b/>
          <w:sz w:val="24"/>
        </w:rPr>
        <w:t>Cárdenas, Gisselle</w:t>
      </w:r>
      <w:r w:rsidRPr="00CA344C">
        <w:rPr>
          <w:b/>
          <w:sz w:val="24"/>
          <w:vertAlign w:val="superscript"/>
        </w:rPr>
        <w:t>1</w:t>
      </w:r>
    </w:p>
    <w:p w:rsidR="00E272AE" w:rsidRDefault="00E272AE" w:rsidP="00CA344C">
      <w:pPr>
        <w:spacing w:after="0" w:line="240" w:lineRule="auto"/>
        <w:jc w:val="both"/>
        <w:rPr>
          <w:sz w:val="24"/>
        </w:rPr>
      </w:pPr>
      <w:r>
        <w:rPr>
          <w:sz w:val="24"/>
        </w:rPr>
        <w:t>gisselle.cardenas@upec.edu.ec</w:t>
      </w:r>
    </w:p>
    <w:p w:rsidR="00E272AE" w:rsidRPr="00CA344C" w:rsidRDefault="004D63CA" w:rsidP="00CA344C">
      <w:pPr>
        <w:spacing w:after="0" w:line="240" w:lineRule="auto"/>
        <w:jc w:val="both"/>
        <w:rPr>
          <w:b/>
          <w:sz w:val="24"/>
        </w:rPr>
      </w:pPr>
      <w:r w:rsidRPr="00CA344C">
        <w:rPr>
          <w:b/>
          <w:sz w:val="24"/>
        </w:rPr>
        <w:t xml:space="preserve"> Bastidas, Jeaneth</w:t>
      </w:r>
      <w:r w:rsidR="00CA344C" w:rsidRPr="00CA344C">
        <w:rPr>
          <w:b/>
          <w:sz w:val="24"/>
          <w:vertAlign w:val="superscript"/>
        </w:rPr>
        <w:t>2</w:t>
      </w:r>
    </w:p>
    <w:p w:rsidR="00E272AE" w:rsidRDefault="00E272AE" w:rsidP="00CA344C">
      <w:pPr>
        <w:spacing w:after="0" w:line="240" w:lineRule="auto"/>
        <w:jc w:val="both"/>
        <w:rPr>
          <w:sz w:val="24"/>
        </w:rPr>
      </w:pPr>
      <w:r>
        <w:rPr>
          <w:sz w:val="24"/>
        </w:rPr>
        <w:t>jeaneth.bastidas@upec.edu.ec</w:t>
      </w:r>
    </w:p>
    <w:p w:rsidR="004D63CA" w:rsidRPr="00CA344C" w:rsidRDefault="00E272AE" w:rsidP="00CA344C">
      <w:pPr>
        <w:spacing w:after="0" w:line="240" w:lineRule="auto"/>
        <w:jc w:val="both"/>
        <w:rPr>
          <w:b/>
          <w:sz w:val="24"/>
        </w:rPr>
      </w:pPr>
      <w:r w:rsidRPr="00CA344C">
        <w:rPr>
          <w:b/>
          <w:sz w:val="24"/>
        </w:rPr>
        <w:t xml:space="preserve"> </w:t>
      </w:r>
      <w:proofErr w:type="spellStart"/>
      <w:r w:rsidR="004D63CA" w:rsidRPr="00CA344C">
        <w:rPr>
          <w:b/>
          <w:sz w:val="24"/>
        </w:rPr>
        <w:t>Guartasaca</w:t>
      </w:r>
      <w:proofErr w:type="spellEnd"/>
      <w:r w:rsidR="004D63CA" w:rsidRPr="00CA344C">
        <w:rPr>
          <w:b/>
          <w:sz w:val="24"/>
        </w:rPr>
        <w:t>, Diana</w:t>
      </w:r>
      <w:r w:rsidR="00CA344C" w:rsidRPr="00CA344C">
        <w:rPr>
          <w:b/>
          <w:sz w:val="24"/>
          <w:vertAlign w:val="superscript"/>
        </w:rPr>
        <w:t>3</w:t>
      </w:r>
      <w:r w:rsidR="004D63CA" w:rsidRPr="00CA344C">
        <w:rPr>
          <w:b/>
          <w:sz w:val="24"/>
          <w:vertAlign w:val="superscript"/>
        </w:rPr>
        <w:t>.</w:t>
      </w:r>
    </w:p>
    <w:p w:rsidR="00E272AE" w:rsidRDefault="00FF3050" w:rsidP="00CA344C">
      <w:pPr>
        <w:spacing w:after="0" w:line="240" w:lineRule="auto"/>
        <w:jc w:val="both"/>
        <w:rPr>
          <w:sz w:val="24"/>
        </w:rPr>
      </w:pPr>
      <w:hyperlink r:id="rId8" w:history="1">
        <w:r w:rsidR="00CA344C" w:rsidRPr="00F3773E">
          <w:rPr>
            <w:rStyle w:val="Hipervnculo"/>
            <w:sz w:val="24"/>
          </w:rPr>
          <w:t>diana.guartasca@upec.edu.ec</w:t>
        </w:r>
      </w:hyperlink>
    </w:p>
    <w:p w:rsidR="00CA344C" w:rsidRDefault="00CA344C" w:rsidP="00CA344C">
      <w:pPr>
        <w:spacing w:after="0" w:line="240" w:lineRule="auto"/>
        <w:jc w:val="both"/>
        <w:rPr>
          <w:sz w:val="24"/>
        </w:rPr>
      </w:pPr>
    </w:p>
    <w:p w:rsidR="00CA344C" w:rsidRDefault="00CA344C" w:rsidP="00CA344C">
      <w:pPr>
        <w:spacing w:after="0" w:line="240" w:lineRule="auto"/>
        <w:jc w:val="both"/>
        <w:rPr>
          <w:sz w:val="24"/>
        </w:rPr>
      </w:pPr>
    </w:p>
    <w:p w:rsidR="00CA344C" w:rsidRDefault="00CA344C" w:rsidP="00CA344C">
      <w:pPr>
        <w:spacing w:after="0" w:line="240" w:lineRule="auto"/>
        <w:jc w:val="both"/>
        <w:rPr>
          <w:sz w:val="24"/>
        </w:rPr>
      </w:pPr>
      <w:r>
        <w:rPr>
          <w:sz w:val="24"/>
        </w:rPr>
        <w:t xml:space="preserve">Recibido: </w:t>
      </w:r>
      <w:r w:rsidR="009416AF">
        <w:rPr>
          <w:sz w:val="24"/>
        </w:rPr>
        <w:t xml:space="preserve"> 06-0- 2018</w:t>
      </w:r>
      <w:r>
        <w:rPr>
          <w:sz w:val="24"/>
        </w:rPr>
        <w:t xml:space="preserve">     Aceptado</w:t>
      </w:r>
      <w:r w:rsidR="009416AF">
        <w:rPr>
          <w:sz w:val="24"/>
        </w:rPr>
        <w:t xml:space="preserve">   12</w:t>
      </w:r>
      <w:bookmarkStart w:id="0" w:name="_GoBack"/>
      <w:bookmarkEnd w:id="0"/>
      <w:r w:rsidR="009416AF">
        <w:rPr>
          <w:sz w:val="24"/>
        </w:rPr>
        <w:t>-11-2019</w:t>
      </w:r>
      <w:r>
        <w:rPr>
          <w:sz w:val="24"/>
        </w:rPr>
        <w:t xml:space="preserve"> </w:t>
      </w:r>
    </w:p>
    <w:p w:rsidR="00CA344C" w:rsidRDefault="00CA344C" w:rsidP="00CA344C">
      <w:pPr>
        <w:spacing w:after="0" w:line="240" w:lineRule="auto"/>
        <w:jc w:val="both"/>
        <w:rPr>
          <w:sz w:val="24"/>
        </w:rPr>
      </w:pPr>
      <w:r>
        <w:rPr>
          <w:sz w:val="24"/>
        </w:rPr>
        <w:tab/>
      </w:r>
      <w:r>
        <w:rPr>
          <w:sz w:val="24"/>
        </w:rPr>
        <w:tab/>
      </w:r>
      <w:r>
        <w:rPr>
          <w:sz w:val="24"/>
        </w:rPr>
        <w:tab/>
      </w:r>
      <w:r>
        <w:rPr>
          <w:sz w:val="24"/>
        </w:rPr>
        <w:tab/>
      </w:r>
      <w:r>
        <w:rPr>
          <w:sz w:val="24"/>
        </w:rPr>
        <w:tab/>
      </w:r>
      <w:r>
        <w:rPr>
          <w:sz w:val="24"/>
        </w:rPr>
        <w:tab/>
      </w:r>
    </w:p>
    <w:p w:rsidR="00CA344C" w:rsidRDefault="00CA344C" w:rsidP="00CA344C">
      <w:pPr>
        <w:spacing w:after="0" w:line="240" w:lineRule="auto"/>
        <w:jc w:val="center"/>
        <w:rPr>
          <w:sz w:val="24"/>
        </w:rPr>
      </w:pPr>
      <w:r>
        <w:rPr>
          <w:sz w:val="24"/>
        </w:rPr>
        <w:t>Resumen</w:t>
      </w:r>
    </w:p>
    <w:p w:rsidR="00CA344C" w:rsidRDefault="00CA344C" w:rsidP="00CA344C">
      <w:pPr>
        <w:spacing w:after="0" w:line="240" w:lineRule="auto"/>
        <w:jc w:val="both"/>
        <w:rPr>
          <w:sz w:val="24"/>
        </w:rPr>
      </w:pPr>
    </w:p>
    <w:p w:rsidR="00CA344C" w:rsidRPr="00CA344C" w:rsidRDefault="00CA344C" w:rsidP="00CA344C">
      <w:pPr>
        <w:jc w:val="both"/>
        <w:rPr>
          <w:rFonts w:cs="Times New Roman"/>
          <w:sz w:val="24"/>
        </w:rPr>
      </w:pPr>
      <w:r w:rsidRPr="00CA344C">
        <w:rPr>
          <w:sz w:val="24"/>
        </w:rPr>
        <w:t>El objetivo de este trabajo fue determinar las dimensiones relacionadas con el rendimiento académico en los estudiantes de la carrera de Administración de Empresas de la Universidad Politécnica Estatal del Carchi. La investigación fue de tipo no experimental, cuantitativo y descriptivo. La muestra tuvo 205 estudiantes</w:t>
      </w:r>
      <w:r w:rsidRPr="00CA344C">
        <w:rPr>
          <w:rFonts w:cs="Times New Roman"/>
          <w:sz w:val="24"/>
        </w:rPr>
        <w:t>. Los factores del modelo conceptual propuesto fueron: la dimensión psicológica, pedagógica, institucional y condiciones socio-familiares. Se utilizó una variante de aproximación a las ecuaciones estructurales llamada PSL y se encontró como dimensiones asociadas al rendimiento académico a la pedagógica, institucional y condiciones socio-familiares.</w:t>
      </w:r>
    </w:p>
    <w:p w:rsidR="00CA344C" w:rsidRPr="00CA344C" w:rsidRDefault="00CA344C" w:rsidP="00CA344C">
      <w:pPr>
        <w:jc w:val="both"/>
        <w:rPr>
          <w:rFonts w:cs="Times New Roman"/>
          <w:sz w:val="24"/>
        </w:rPr>
      </w:pPr>
      <w:r w:rsidRPr="00CA344C">
        <w:rPr>
          <w:rFonts w:cs="Times New Roman"/>
          <w:sz w:val="24"/>
        </w:rPr>
        <w:t>Palabras clave: Ecuador, rendimiento académico, condiciones socio-familiares, PSL</w:t>
      </w:r>
    </w:p>
    <w:p w:rsidR="00CA344C" w:rsidRPr="00CA344C" w:rsidRDefault="00CA344C" w:rsidP="00CA344C">
      <w:pPr>
        <w:jc w:val="center"/>
        <w:rPr>
          <w:sz w:val="24"/>
          <w:lang w:val="en-US"/>
        </w:rPr>
      </w:pPr>
      <w:r w:rsidRPr="00CA344C">
        <w:rPr>
          <w:sz w:val="24"/>
          <w:lang w:val="en-US"/>
        </w:rPr>
        <w:t xml:space="preserve">Abstract </w:t>
      </w:r>
    </w:p>
    <w:p w:rsidR="00CA344C" w:rsidRPr="00CA344C" w:rsidRDefault="00CA344C" w:rsidP="00CA344C">
      <w:pPr>
        <w:jc w:val="both"/>
        <w:rPr>
          <w:lang w:val="en-US"/>
        </w:rPr>
      </w:pPr>
      <w:r w:rsidRPr="00CA344C">
        <w:rPr>
          <w:lang w:val="en-US"/>
        </w:rPr>
        <w:t xml:space="preserve">The objective of this research was to determine the dimensions related to academic performance in the students of the Business Administration career of the </w:t>
      </w:r>
      <w:r w:rsidRPr="00CA344C">
        <w:rPr>
          <w:sz w:val="24"/>
          <w:lang w:val="en-US"/>
        </w:rPr>
        <w:t xml:space="preserve">Universidad </w:t>
      </w:r>
      <w:proofErr w:type="spellStart"/>
      <w:r w:rsidRPr="00CA344C">
        <w:rPr>
          <w:sz w:val="24"/>
          <w:lang w:val="en-US"/>
        </w:rPr>
        <w:t>Politécnica</w:t>
      </w:r>
      <w:proofErr w:type="spellEnd"/>
      <w:r w:rsidRPr="00CA344C">
        <w:rPr>
          <w:sz w:val="24"/>
          <w:lang w:val="en-US"/>
        </w:rPr>
        <w:t xml:space="preserve"> </w:t>
      </w:r>
      <w:proofErr w:type="spellStart"/>
      <w:r w:rsidRPr="00CA344C">
        <w:rPr>
          <w:sz w:val="24"/>
          <w:lang w:val="en-US"/>
        </w:rPr>
        <w:t>Estatal</w:t>
      </w:r>
      <w:proofErr w:type="spellEnd"/>
      <w:r w:rsidRPr="00CA344C">
        <w:rPr>
          <w:sz w:val="24"/>
          <w:lang w:val="en-US"/>
        </w:rPr>
        <w:t xml:space="preserve"> del Carchi</w:t>
      </w:r>
      <w:r w:rsidRPr="00CA344C">
        <w:rPr>
          <w:lang w:val="en-US"/>
        </w:rPr>
        <w:t>. The research was non-experimental, quantitative and descriptive and was applied to 205 university students. The factors of the proposed conceptual model were: the psychological, pedagogical, institutional and socio-family conditions. We used a variant of approximation to the structural equations called PSL and it was found as dimensions associated to the academic performance to the pedagogical, institutional and socio-family conditions.</w:t>
      </w:r>
    </w:p>
    <w:p w:rsidR="00CA344C" w:rsidRPr="00CA344C" w:rsidRDefault="00CA344C" w:rsidP="00CA344C">
      <w:pPr>
        <w:rPr>
          <w:lang w:val="en-US"/>
        </w:rPr>
      </w:pPr>
      <w:r w:rsidRPr="00CA344C">
        <w:rPr>
          <w:lang w:val="en-US"/>
        </w:rPr>
        <w:t>Keywords: Ecuador, academic performance, socio-family conditions, PSL</w:t>
      </w:r>
    </w:p>
    <w:p w:rsidR="00FF3050" w:rsidRDefault="00FF3050" w:rsidP="00CA344C">
      <w:pPr>
        <w:spacing w:after="0" w:line="240" w:lineRule="auto"/>
        <w:jc w:val="both"/>
        <w:rPr>
          <w:sz w:val="24"/>
          <w:lang w:val="en-US"/>
        </w:rPr>
        <w:sectPr w:rsidR="00FF3050" w:rsidSect="00FF3050">
          <w:headerReference w:type="default" r:id="rId9"/>
          <w:footerReference w:type="default" r:id="rId10"/>
          <w:pgSz w:w="11906" w:h="16838"/>
          <w:pgMar w:top="1417" w:right="1701" w:bottom="1417" w:left="1701" w:header="708" w:footer="697" w:gutter="0"/>
          <w:pgNumType w:start="135"/>
          <w:cols w:space="708"/>
          <w:docGrid w:linePitch="360"/>
        </w:sectPr>
      </w:pPr>
    </w:p>
    <w:p w:rsidR="00CA344C" w:rsidRPr="00CA344C" w:rsidRDefault="00CA344C" w:rsidP="00CA344C">
      <w:pPr>
        <w:spacing w:after="0" w:line="240" w:lineRule="auto"/>
        <w:jc w:val="both"/>
        <w:rPr>
          <w:sz w:val="24"/>
          <w:lang w:val="en-US"/>
        </w:rPr>
      </w:pPr>
    </w:p>
    <w:p w:rsidR="00CA344C" w:rsidRPr="00CA344C" w:rsidRDefault="00CA344C" w:rsidP="00CA344C">
      <w:pPr>
        <w:spacing w:after="0" w:line="240" w:lineRule="auto"/>
        <w:jc w:val="both"/>
        <w:rPr>
          <w:sz w:val="24"/>
          <w:lang w:val="en-US"/>
        </w:rPr>
      </w:pPr>
    </w:p>
    <w:p w:rsidR="00CB48FF" w:rsidRPr="008F4CAA" w:rsidRDefault="00CB48FF" w:rsidP="00891126">
      <w:pPr>
        <w:spacing w:line="276" w:lineRule="auto"/>
        <w:jc w:val="both"/>
        <w:rPr>
          <w:b/>
          <w:sz w:val="24"/>
          <w:lang w:val="en-US"/>
        </w:rPr>
      </w:pPr>
    </w:p>
    <w:p w:rsidR="00A4238C" w:rsidRDefault="00A4238C" w:rsidP="00CA344C">
      <w:pPr>
        <w:spacing w:after="0"/>
        <w:jc w:val="center"/>
        <w:rPr>
          <w:b/>
          <w:sz w:val="24"/>
        </w:rPr>
      </w:pPr>
    </w:p>
    <w:p w:rsidR="00A4238C" w:rsidRDefault="00A4238C" w:rsidP="00CA344C">
      <w:pPr>
        <w:spacing w:after="0"/>
        <w:jc w:val="center"/>
        <w:rPr>
          <w:b/>
          <w:sz w:val="24"/>
        </w:rPr>
      </w:pPr>
    </w:p>
    <w:p w:rsidR="00CA344C" w:rsidRDefault="00980616" w:rsidP="00CA344C">
      <w:pPr>
        <w:spacing w:after="0"/>
        <w:jc w:val="center"/>
        <w:rPr>
          <w:b/>
          <w:sz w:val="24"/>
        </w:rPr>
      </w:pPr>
      <w:r w:rsidRPr="006B78F3">
        <w:rPr>
          <w:b/>
          <w:sz w:val="24"/>
        </w:rPr>
        <w:t>Introducción</w:t>
      </w:r>
    </w:p>
    <w:p w:rsidR="00CA344C" w:rsidRDefault="00CA344C" w:rsidP="00CA344C">
      <w:pPr>
        <w:spacing w:after="0"/>
        <w:jc w:val="right"/>
        <w:rPr>
          <w:b/>
          <w:sz w:val="24"/>
        </w:rPr>
      </w:pPr>
    </w:p>
    <w:p w:rsidR="00CA344C" w:rsidRPr="00980616" w:rsidRDefault="00980616" w:rsidP="00FF3050">
      <w:pPr>
        <w:spacing w:line="240" w:lineRule="auto"/>
        <w:ind w:left="426"/>
        <w:jc w:val="both"/>
        <w:rPr>
          <w:i/>
          <w:sz w:val="24"/>
        </w:rPr>
      </w:pPr>
      <w:r w:rsidRPr="006B78F3">
        <w:rPr>
          <w:b/>
          <w:sz w:val="24"/>
        </w:rPr>
        <w:t xml:space="preserve"> </w:t>
      </w:r>
      <w:r w:rsidR="00CA344C" w:rsidRPr="00980616">
        <w:rPr>
          <w:i/>
          <w:sz w:val="24"/>
        </w:rPr>
        <w:t>“El rendimiento académico de los estudiantes es un componente clave para determinar si una institución está alcanzando sus objetivos educativos. De aquí, que sea esencial la existencia de un programa de evaluación para documentar el rendimiento académico de los estudiantes”.</w:t>
      </w:r>
    </w:p>
    <w:p w:rsidR="00CA344C" w:rsidRPr="00980616" w:rsidRDefault="00CA344C" w:rsidP="00FF3050">
      <w:pPr>
        <w:spacing w:line="240" w:lineRule="auto"/>
        <w:ind w:left="426"/>
        <w:jc w:val="right"/>
        <w:rPr>
          <w:i/>
          <w:sz w:val="24"/>
        </w:rPr>
      </w:pPr>
      <w:r w:rsidRPr="00980616">
        <w:rPr>
          <w:i/>
          <w:sz w:val="24"/>
        </w:rPr>
        <w:t>(</w:t>
      </w:r>
      <w:proofErr w:type="spellStart"/>
      <w:r w:rsidRPr="00980616">
        <w:rPr>
          <w:i/>
          <w:sz w:val="24"/>
        </w:rPr>
        <w:t>Higher</w:t>
      </w:r>
      <w:proofErr w:type="spellEnd"/>
      <w:r w:rsidRPr="00980616">
        <w:rPr>
          <w:i/>
          <w:sz w:val="24"/>
        </w:rPr>
        <w:t xml:space="preserve"> </w:t>
      </w:r>
      <w:proofErr w:type="spellStart"/>
      <w:r w:rsidRPr="00980616">
        <w:rPr>
          <w:i/>
          <w:sz w:val="24"/>
        </w:rPr>
        <w:t>Education</w:t>
      </w:r>
      <w:proofErr w:type="spellEnd"/>
      <w:r w:rsidRPr="00980616">
        <w:rPr>
          <w:i/>
          <w:sz w:val="24"/>
        </w:rPr>
        <w:t xml:space="preserve"> MSA, 1995)</w:t>
      </w:r>
    </w:p>
    <w:p w:rsidR="002062A8" w:rsidRDefault="002062A8" w:rsidP="00891126">
      <w:pPr>
        <w:spacing w:before="240" w:line="276" w:lineRule="auto"/>
        <w:jc w:val="both"/>
        <w:rPr>
          <w:sz w:val="24"/>
        </w:rPr>
      </w:pPr>
      <w:r>
        <w:rPr>
          <w:sz w:val="24"/>
        </w:rPr>
        <w:t xml:space="preserve">El rendimiento académico es objeto de múltiples estudios, </w:t>
      </w:r>
      <w:r w:rsidR="00914D67">
        <w:rPr>
          <w:sz w:val="24"/>
        </w:rPr>
        <w:t xml:space="preserve">en algunos </w:t>
      </w:r>
      <w:r>
        <w:rPr>
          <w:sz w:val="24"/>
        </w:rPr>
        <w:t xml:space="preserve">generalmente </w:t>
      </w:r>
      <w:r w:rsidR="00914D67">
        <w:rPr>
          <w:sz w:val="24"/>
        </w:rPr>
        <w:t>se limitan al aprobar o reprobar materias en función de los recursos económicos y los entornos familiares, relegando la responsabilidad de los docentes y la participación misma de los estudiantes dentro de las universidades. Elementos que derivan en el análisis del sistema de educación superior</w:t>
      </w:r>
      <w:r w:rsidR="00AE225C">
        <w:rPr>
          <w:sz w:val="24"/>
        </w:rPr>
        <w:t xml:space="preserve"> ecuatoriano </w:t>
      </w:r>
      <w:r w:rsidR="00914D67">
        <w:rPr>
          <w:sz w:val="24"/>
        </w:rPr>
        <w:t xml:space="preserve">por los entes de control entre ellos el CEAACES </w:t>
      </w:r>
      <w:r w:rsidR="0006217F">
        <w:rPr>
          <w:sz w:val="24"/>
        </w:rPr>
        <w:t xml:space="preserve">y el CES que años </w:t>
      </w:r>
      <w:r w:rsidR="00914D67">
        <w:rPr>
          <w:sz w:val="24"/>
        </w:rPr>
        <w:t>ante</w:t>
      </w:r>
      <w:r w:rsidR="0006217F">
        <w:rPr>
          <w:sz w:val="24"/>
        </w:rPr>
        <w:t>riores</w:t>
      </w:r>
      <w:r w:rsidR="00914D67">
        <w:rPr>
          <w:sz w:val="24"/>
        </w:rPr>
        <w:t xml:space="preserve"> definieron </w:t>
      </w:r>
      <w:r w:rsidR="00B643C0">
        <w:rPr>
          <w:sz w:val="24"/>
        </w:rPr>
        <w:t>una ruta para alcanzar la</w:t>
      </w:r>
      <w:r w:rsidR="00FD4106">
        <w:rPr>
          <w:sz w:val="24"/>
        </w:rPr>
        <w:t xml:space="preserve"> c</w:t>
      </w:r>
      <w:r w:rsidR="00AE225C">
        <w:rPr>
          <w:sz w:val="24"/>
        </w:rPr>
        <w:t>alidad para la acreditación y categorización de universidades dentro del país.</w:t>
      </w:r>
    </w:p>
    <w:p w:rsidR="002B723A" w:rsidRDefault="00AE225C" w:rsidP="00891126">
      <w:pPr>
        <w:spacing w:line="276" w:lineRule="auto"/>
        <w:jc w:val="both"/>
        <w:rPr>
          <w:sz w:val="24"/>
        </w:rPr>
      </w:pPr>
      <w:r>
        <w:rPr>
          <w:sz w:val="24"/>
        </w:rPr>
        <w:t xml:space="preserve">Uno de los efectos directos del rendimiento académico es la deserción estudiantil, pero existen elementos que pueden reducir dichos casos, el </w:t>
      </w:r>
      <w:r w:rsidR="00401886">
        <w:rPr>
          <w:sz w:val="24"/>
        </w:rPr>
        <w:t>Modelo de E</w:t>
      </w:r>
      <w:r>
        <w:rPr>
          <w:sz w:val="24"/>
        </w:rPr>
        <w:t>valuación</w:t>
      </w:r>
      <w:r w:rsidR="00AC0AA8">
        <w:rPr>
          <w:sz w:val="24"/>
        </w:rPr>
        <w:t xml:space="preserve"> Institucional de Universidades y Escuelas Politécnicas</w:t>
      </w:r>
      <w:r w:rsidR="005773E2">
        <w:rPr>
          <w:sz w:val="24"/>
        </w:rPr>
        <w:t xml:space="preserve"> </w:t>
      </w:r>
      <w:r w:rsidR="00270FD0">
        <w:rPr>
          <w:sz w:val="24"/>
        </w:rPr>
        <w:t>incluye algunos criterios</w:t>
      </w:r>
      <w:r w:rsidR="005773E2">
        <w:rPr>
          <w:sz w:val="24"/>
        </w:rPr>
        <w:t xml:space="preserve"> macro</w:t>
      </w:r>
      <w:r w:rsidR="00270FD0">
        <w:rPr>
          <w:sz w:val="24"/>
        </w:rPr>
        <w:t xml:space="preserve">, </w:t>
      </w:r>
      <w:r w:rsidR="00757B81">
        <w:rPr>
          <w:sz w:val="24"/>
        </w:rPr>
        <w:t>Organización</w:t>
      </w:r>
      <w:r>
        <w:rPr>
          <w:sz w:val="24"/>
        </w:rPr>
        <w:t xml:space="preserve">, </w:t>
      </w:r>
      <w:r w:rsidR="00757B81">
        <w:rPr>
          <w:sz w:val="24"/>
        </w:rPr>
        <w:t>Claustro de profesores</w:t>
      </w:r>
      <w:r>
        <w:rPr>
          <w:sz w:val="24"/>
        </w:rPr>
        <w:t xml:space="preserve">, </w:t>
      </w:r>
      <w:r w:rsidR="00757B81">
        <w:rPr>
          <w:sz w:val="24"/>
        </w:rPr>
        <w:t>Investigación</w:t>
      </w:r>
      <w:r>
        <w:rPr>
          <w:sz w:val="24"/>
        </w:rPr>
        <w:t xml:space="preserve">, </w:t>
      </w:r>
      <w:r w:rsidR="00757B81">
        <w:rPr>
          <w:sz w:val="24"/>
        </w:rPr>
        <w:t>Vinculación con la sociedad, Recursos e infraestructura y Estudiantes</w:t>
      </w:r>
      <w:sdt>
        <w:sdtPr>
          <w:rPr>
            <w:sz w:val="24"/>
          </w:rPr>
          <w:id w:val="152876085"/>
          <w:citation/>
        </w:sdtPr>
        <w:sdtContent>
          <w:r w:rsidR="00757B81">
            <w:rPr>
              <w:sz w:val="24"/>
            </w:rPr>
            <w:fldChar w:fldCharType="begin"/>
          </w:r>
          <w:r w:rsidR="00757B81">
            <w:rPr>
              <w:sz w:val="24"/>
            </w:rPr>
            <w:instrText xml:space="preserve"> CITATION CEA18 \l 12298 </w:instrText>
          </w:r>
          <w:r w:rsidR="00757B81">
            <w:rPr>
              <w:sz w:val="24"/>
            </w:rPr>
            <w:fldChar w:fldCharType="separate"/>
          </w:r>
          <w:r w:rsidR="00A4238C">
            <w:rPr>
              <w:noProof/>
              <w:sz w:val="24"/>
            </w:rPr>
            <w:t xml:space="preserve"> </w:t>
          </w:r>
          <w:r w:rsidR="00A4238C" w:rsidRPr="00A4238C">
            <w:rPr>
              <w:noProof/>
              <w:sz w:val="24"/>
            </w:rPr>
            <w:t>(CEAACES, 2018)</w:t>
          </w:r>
          <w:r w:rsidR="00757B81">
            <w:rPr>
              <w:sz w:val="24"/>
            </w:rPr>
            <w:fldChar w:fldCharType="end"/>
          </w:r>
        </w:sdtContent>
      </w:sdt>
      <w:r w:rsidR="00270FD0">
        <w:rPr>
          <w:sz w:val="24"/>
        </w:rPr>
        <w:t>,</w:t>
      </w:r>
      <w:r w:rsidR="009013A5">
        <w:rPr>
          <w:sz w:val="24"/>
        </w:rPr>
        <w:t xml:space="preserve"> </w:t>
      </w:r>
      <w:r w:rsidR="005773E2">
        <w:rPr>
          <w:sz w:val="24"/>
        </w:rPr>
        <w:t xml:space="preserve">aunque los elementos específicos para la evaluación de carreras parten de los </w:t>
      </w:r>
      <w:r w:rsidR="005773E2">
        <w:rPr>
          <w:sz w:val="24"/>
        </w:rPr>
        <w:t xml:space="preserve">anteriores, El Modelo Genérico de Evaluación del Entorno de Aprendizaje de Carreras en Ecuador incluye criterios como la Pertinencia, Organización (los ambientes de aprendizaje), el Currículo y los Estudiantes (eficiencia académica) </w:t>
      </w:r>
      <w:sdt>
        <w:sdtPr>
          <w:rPr>
            <w:sz w:val="24"/>
          </w:rPr>
          <w:id w:val="-2066013230"/>
          <w:citation/>
        </w:sdtPr>
        <w:sdtContent>
          <w:r w:rsidR="005773E2">
            <w:rPr>
              <w:sz w:val="24"/>
            </w:rPr>
            <w:fldChar w:fldCharType="begin"/>
          </w:r>
          <w:r w:rsidR="005773E2">
            <w:rPr>
              <w:sz w:val="24"/>
            </w:rPr>
            <w:instrText xml:space="preserve"> CITATION CEA17 \l 12298 </w:instrText>
          </w:r>
          <w:r w:rsidR="005773E2">
            <w:rPr>
              <w:sz w:val="24"/>
            </w:rPr>
            <w:fldChar w:fldCharType="separate"/>
          </w:r>
          <w:r w:rsidR="00A4238C" w:rsidRPr="00A4238C">
            <w:rPr>
              <w:noProof/>
              <w:sz w:val="24"/>
            </w:rPr>
            <w:t>(CEAACES, 2017)</w:t>
          </w:r>
          <w:r w:rsidR="005773E2">
            <w:rPr>
              <w:sz w:val="24"/>
            </w:rPr>
            <w:fldChar w:fldCharType="end"/>
          </w:r>
        </w:sdtContent>
      </w:sdt>
      <w:r w:rsidR="00527C56">
        <w:rPr>
          <w:sz w:val="24"/>
        </w:rPr>
        <w:t xml:space="preserve"> </w:t>
      </w:r>
      <w:r w:rsidR="009013A5">
        <w:rPr>
          <w:sz w:val="24"/>
        </w:rPr>
        <w:t xml:space="preserve">que están encaminados a fortalecer el compromiso institucional de las universidades hacia </w:t>
      </w:r>
      <w:r w:rsidR="00BF71A4">
        <w:rPr>
          <w:sz w:val="24"/>
        </w:rPr>
        <w:t xml:space="preserve">los estudiantes y la comunidad, pero solo representa una de las dimensiones </w:t>
      </w:r>
      <w:r w:rsidR="002B723A">
        <w:rPr>
          <w:sz w:val="24"/>
        </w:rPr>
        <w:t>que las instituciones de educación superior deben considerar y conjugar para garantizar la calidad de la educación, además ese compromiso es mayor por la gratuidad de la educación de tercer nivel; cada estudiante l</w:t>
      </w:r>
      <w:r w:rsidR="007A6604">
        <w:rPr>
          <w:sz w:val="24"/>
        </w:rPr>
        <w:t xml:space="preserve">e cuesta al estado ecuatoriano, si se compara con universidades privadas, $4.814,00 </w:t>
      </w:r>
      <w:sdt>
        <w:sdtPr>
          <w:rPr>
            <w:sz w:val="24"/>
          </w:rPr>
          <w:id w:val="-998655548"/>
          <w:citation/>
        </w:sdtPr>
        <w:sdtContent>
          <w:r w:rsidR="007A6604">
            <w:rPr>
              <w:sz w:val="24"/>
            </w:rPr>
            <w:fldChar w:fldCharType="begin"/>
          </w:r>
          <w:r w:rsidR="007A6604">
            <w:rPr>
              <w:sz w:val="24"/>
            </w:rPr>
            <w:instrText xml:space="preserve"> CITATION ElT15 \l 12298 </w:instrText>
          </w:r>
          <w:r w:rsidR="007A6604">
            <w:rPr>
              <w:sz w:val="24"/>
            </w:rPr>
            <w:fldChar w:fldCharType="separate"/>
          </w:r>
          <w:r w:rsidR="00A4238C" w:rsidRPr="00A4238C">
            <w:rPr>
              <w:noProof/>
              <w:sz w:val="24"/>
            </w:rPr>
            <w:t>(El Telégrafo, 2015)</w:t>
          </w:r>
          <w:r w:rsidR="007A6604">
            <w:rPr>
              <w:sz w:val="24"/>
            </w:rPr>
            <w:fldChar w:fldCharType="end"/>
          </w:r>
        </w:sdtContent>
      </w:sdt>
      <w:r w:rsidR="002B723A">
        <w:rPr>
          <w:sz w:val="24"/>
        </w:rPr>
        <w:t>.</w:t>
      </w:r>
      <w:r w:rsidR="00553B89">
        <w:rPr>
          <w:sz w:val="24"/>
        </w:rPr>
        <w:t xml:space="preserve"> </w:t>
      </w:r>
    </w:p>
    <w:p w:rsidR="00C72902" w:rsidRDefault="00C72902" w:rsidP="00891126">
      <w:pPr>
        <w:spacing w:line="276" w:lineRule="auto"/>
        <w:jc w:val="both"/>
        <w:rPr>
          <w:sz w:val="24"/>
        </w:rPr>
      </w:pPr>
      <w:r>
        <w:rPr>
          <w:sz w:val="24"/>
        </w:rPr>
        <w:t>La carrera de Administración de Empresas de la Universidad Politécnica Estatal del Carchi posee la mayor cantidad de estu</w:t>
      </w:r>
      <w:r w:rsidR="0055392D">
        <w:rPr>
          <w:sz w:val="24"/>
        </w:rPr>
        <w:t>diantes</w:t>
      </w:r>
      <w:r w:rsidR="00607054">
        <w:rPr>
          <w:sz w:val="24"/>
        </w:rPr>
        <w:t>,</w:t>
      </w:r>
      <w:r w:rsidR="0055392D">
        <w:rPr>
          <w:sz w:val="24"/>
        </w:rPr>
        <w:t xml:space="preserve"> </w:t>
      </w:r>
      <w:r w:rsidR="006F2D14">
        <w:rPr>
          <w:sz w:val="24"/>
        </w:rPr>
        <w:t xml:space="preserve">de acuerdo al departamento de Admisión y Registro de la UPEC </w:t>
      </w:r>
      <w:r w:rsidR="0055392D">
        <w:rPr>
          <w:sz w:val="24"/>
        </w:rPr>
        <w:t>representan el 15,2% de la población</w:t>
      </w:r>
      <w:r w:rsidR="003F4991">
        <w:rPr>
          <w:sz w:val="24"/>
        </w:rPr>
        <w:t>, por obvias razones, existe un considerable número de estudiantes con bajas calificaciones, en muchos casos los estudiantes que reprueban pierden el derecho a la gratuidad, y en determinados casos</w:t>
      </w:r>
      <w:r w:rsidR="00BF4A44">
        <w:rPr>
          <w:sz w:val="24"/>
        </w:rPr>
        <w:t xml:space="preserve"> los estudiantes</w:t>
      </w:r>
      <w:r w:rsidR="00B12C33">
        <w:rPr>
          <w:sz w:val="24"/>
        </w:rPr>
        <w:t xml:space="preserve"> deciden abandonar sus estudios.</w:t>
      </w:r>
    </w:p>
    <w:p w:rsidR="00401886" w:rsidRDefault="002B723A" w:rsidP="00891126">
      <w:pPr>
        <w:spacing w:line="276" w:lineRule="auto"/>
        <w:jc w:val="both"/>
        <w:rPr>
          <w:sz w:val="24"/>
        </w:rPr>
      </w:pPr>
      <w:r>
        <w:rPr>
          <w:sz w:val="24"/>
        </w:rPr>
        <w:t xml:space="preserve">A partir de estas ideas, el propósito de este trabajo es </w:t>
      </w:r>
      <w:r w:rsidR="00E0435C">
        <w:rPr>
          <w:sz w:val="24"/>
        </w:rPr>
        <w:t>determinar l</w:t>
      </w:r>
      <w:r w:rsidR="00F50F88">
        <w:rPr>
          <w:sz w:val="24"/>
        </w:rPr>
        <w:t>a</w:t>
      </w:r>
      <w:r w:rsidR="00E0435C">
        <w:rPr>
          <w:sz w:val="24"/>
        </w:rPr>
        <w:t xml:space="preserve">s </w:t>
      </w:r>
      <w:r w:rsidR="00F50F88">
        <w:rPr>
          <w:sz w:val="24"/>
        </w:rPr>
        <w:t>dimensiones relacionada</w:t>
      </w:r>
      <w:r w:rsidR="00E0435C">
        <w:rPr>
          <w:sz w:val="24"/>
        </w:rPr>
        <w:t xml:space="preserve">s con el </w:t>
      </w:r>
      <w:r w:rsidR="00CC28C9">
        <w:rPr>
          <w:sz w:val="24"/>
        </w:rPr>
        <w:t>rendimiento ac</w:t>
      </w:r>
      <w:r w:rsidR="00A13BFB">
        <w:rPr>
          <w:sz w:val="24"/>
        </w:rPr>
        <w:t>adémico</w:t>
      </w:r>
      <w:r w:rsidR="00E0435C">
        <w:rPr>
          <w:sz w:val="24"/>
        </w:rPr>
        <w:t xml:space="preserve"> en los estudiantes de la carrera de Administración de Empresas de la UPEC. Los resultados de esta iniciativa buscan fortalecer los esfuerzos institucionales para mejorar el </w:t>
      </w:r>
      <w:r w:rsidR="00E0435C">
        <w:rPr>
          <w:sz w:val="24"/>
        </w:rPr>
        <w:lastRenderedPageBreak/>
        <w:t>rendimien</w:t>
      </w:r>
      <w:r w:rsidR="004102D8">
        <w:rPr>
          <w:sz w:val="24"/>
        </w:rPr>
        <w:t>to académico y generar un antecedente replicable en otras carreras e instituciones para reducir los índices de reprobación y deserción.</w:t>
      </w:r>
    </w:p>
    <w:p w:rsidR="00AE225C" w:rsidRDefault="00680B57" w:rsidP="00891126">
      <w:pPr>
        <w:spacing w:line="276" w:lineRule="auto"/>
        <w:jc w:val="both"/>
        <w:rPr>
          <w:sz w:val="24"/>
        </w:rPr>
      </w:pPr>
      <w:r>
        <w:rPr>
          <w:sz w:val="24"/>
        </w:rPr>
        <w:t>La hipótesis que busca validar este trabajo</w:t>
      </w:r>
      <w:r w:rsidR="005A7733">
        <w:rPr>
          <w:sz w:val="24"/>
        </w:rPr>
        <w:t xml:space="preserve"> es la </w:t>
      </w:r>
      <w:r w:rsidR="00FC0741">
        <w:rPr>
          <w:sz w:val="24"/>
        </w:rPr>
        <w:t>asociación</w:t>
      </w:r>
      <w:r w:rsidR="005A7733">
        <w:rPr>
          <w:sz w:val="24"/>
        </w:rPr>
        <w:t xml:space="preserve"> del</w:t>
      </w:r>
      <w:r w:rsidR="006C1EA3">
        <w:rPr>
          <w:sz w:val="24"/>
        </w:rPr>
        <w:t xml:space="preserve"> rendimiento</w:t>
      </w:r>
      <w:r w:rsidR="00AF2B33">
        <w:rPr>
          <w:sz w:val="24"/>
        </w:rPr>
        <w:t xml:space="preserve"> académico</w:t>
      </w:r>
      <w:r w:rsidR="006C1EA3">
        <w:rPr>
          <w:sz w:val="24"/>
        </w:rPr>
        <w:t xml:space="preserve"> </w:t>
      </w:r>
      <w:r w:rsidR="005A7733">
        <w:rPr>
          <w:sz w:val="24"/>
        </w:rPr>
        <w:t xml:space="preserve">con respecto a </w:t>
      </w:r>
      <w:r w:rsidR="006C1EA3">
        <w:rPr>
          <w:sz w:val="24"/>
        </w:rPr>
        <w:t>la</w:t>
      </w:r>
      <w:r w:rsidR="0041231B">
        <w:rPr>
          <w:sz w:val="24"/>
        </w:rPr>
        <w:t>s</w:t>
      </w:r>
      <w:r w:rsidR="006C1EA3">
        <w:rPr>
          <w:sz w:val="24"/>
        </w:rPr>
        <w:t xml:space="preserve"> </w:t>
      </w:r>
      <w:r w:rsidR="0041231B">
        <w:rPr>
          <w:sz w:val="24"/>
        </w:rPr>
        <w:t>dimensiones de condiciones socio-familiares, pedagógica, institucional y psicológica</w:t>
      </w:r>
      <w:r w:rsidR="00AF2B33" w:rsidRPr="00AF2B33">
        <w:rPr>
          <w:sz w:val="24"/>
        </w:rPr>
        <w:t>.</w:t>
      </w:r>
    </w:p>
    <w:p w:rsidR="00401886" w:rsidRDefault="004E07DD" w:rsidP="00891126">
      <w:pPr>
        <w:spacing w:line="276" w:lineRule="auto"/>
        <w:jc w:val="both"/>
        <w:rPr>
          <w:sz w:val="24"/>
        </w:rPr>
      </w:pPr>
      <w:r>
        <w:rPr>
          <w:sz w:val="24"/>
        </w:rPr>
        <w:t>El documento consta de un marco de referencia que permite contextualizar las variables, luego se encuentra el aspecto metodológico que describe el procedimiento para el tratamiento y el análisis de los datos, también se describen los princip</w:t>
      </w:r>
      <w:r w:rsidR="00EA568D">
        <w:rPr>
          <w:sz w:val="24"/>
        </w:rPr>
        <w:t>ales result</w:t>
      </w:r>
      <w:r w:rsidR="00403344">
        <w:rPr>
          <w:sz w:val="24"/>
        </w:rPr>
        <w:t>ados y finalmente se exponen algunas conclusiones</w:t>
      </w:r>
      <w:r w:rsidR="001C31C5">
        <w:rPr>
          <w:sz w:val="24"/>
        </w:rPr>
        <w:t xml:space="preserve"> y recomendaciones sobre el </w:t>
      </w:r>
      <w:r w:rsidR="00995238">
        <w:rPr>
          <w:sz w:val="24"/>
        </w:rPr>
        <w:t>tema abordado.</w:t>
      </w:r>
    </w:p>
    <w:p w:rsidR="00527C56" w:rsidRDefault="00527C56" w:rsidP="00891126">
      <w:pPr>
        <w:spacing w:line="276" w:lineRule="auto"/>
        <w:jc w:val="both"/>
        <w:rPr>
          <w:b/>
          <w:sz w:val="24"/>
        </w:rPr>
      </w:pPr>
      <w:r>
        <w:rPr>
          <w:b/>
          <w:sz w:val="24"/>
        </w:rPr>
        <w:t>Revisión de literatura</w:t>
      </w:r>
    </w:p>
    <w:p w:rsidR="00067BE0" w:rsidRDefault="002F5B54" w:rsidP="00891126">
      <w:pPr>
        <w:spacing w:line="276" w:lineRule="auto"/>
        <w:jc w:val="both"/>
        <w:rPr>
          <w:sz w:val="24"/>
        </w:rPr>
      </w:pPr>
      <w:r>
        <w:rPr>
          <w:sz w:val="24"/>
        </w:rPr>
        <w:t>Al tratar de buscar una explicación sobre e</w:t>
      </w:r>
      <w:r w:rsidR="006B78F3">
        <w:rPr>
          <w:sz w:val="24"/>
        </w:rPr>
        <w:t>l rendimiento académico</w:t>
      </w:r>
      <w:r>
        <w:rPr>
          <w:sz w:val="24"/>
        </w:rPr>
        <w:t>, se concluye que se trata de</w:t>
      </w:r>
      <w:r w:rsidR="006B78F3">
        <w:rPr>
          <w:sz w:val="24"/>
        </w:rPr>
        <w:t xml:space="preserve"> u</w:t>
      </w:r>
      <w:r w:rsidR="001A5963">
        <w:rPr>
          <w:sz w:val="24"/>
        </w:rPr>
        <w:t xml:space="preserve">n acontecimiento multifactorial </w:t>
      </w:r>
      <w:sdt>
        <w:sdtPr>
          <w:rPr>
            <w:sz w:val="24"/>
          </w:rPr>
          <w:id w:val="129915868"/>
          <w:citation/>
        </w:sdtPr>
        <w:sdtContent>
          <w:r w:rsidR="006B78F3">
            <w:rPr>
              <w:sz w:val="24"/>
            </w:rPr>
            <w:fldChar w:fldCharType="begin"/>
          </w:r>
          <w:r w:rsidR="006B78F3">
            <w:rPr>
              <w:sz w:val="24"/>
            </w:rPr>
            <w:instrText xml:space="preserve"> CITATION Ede03 \l 12298 </w:instrText>
          </w:r>
          <w:r w:rsidR="006B78F3">
            <w:rPr>
              <w:sz w:val="24"/>
            </w:rPr>
            <w:fldChar w:fldCharType="separate"/>
          </w:r>
          <w:r w:rsidR="00A4238C" w:rsidRPr="00A4238C">
            <w:rPr>
              <w:noProof/>
              <w:sz w:val="24"/>
            </w:rPr>
            <w:t>(Edel, 2003)</w:t>
          </w:r>
          <w:r w:rsidR="006B78F3">
            <w:rPr>
              <w:sz w:val="24"/>
            </w:rPr>
            <w:fldChar w:fldCharType="end"/>
          </w:r>
        </w:sdtContent>
      </w:sdt>
      <w:r w:rsidR="001A5963">
        <w:rPr>
          <w:sz w:val="24"/>
        </w:rPr>
        <w:t>, actualmente es una idea aceptada</w:t>
      </w:r>
      <w:r w:rsidR="00E0731A">
        <w:rPr>
          <w:sz w:val="24"/>
        </w:rPr>
        <w:t>, sin descuidar al factor interno del estudiante, como el principal componente del aprendizaje</w:t>
      </w:r>
      <w:r w:rsidR="00B36771">
        <w:rPr>
          <w:sz w:val="24"/>
        </w:rPr>
        <w:t>, en ese sentido</w:t>
      </w:r>
      <w:r w:rsidR="00493681">
        <w:rPr>
          <w:sz w:val="24"/>
        </w:rPr>
        <w:t xml:space="preserve"> </w:t>
      </w:r>
      <w:proofErr w:type="spellStart"/>
      <w:r w:rsidR="00493681">
        <w:rPr>
          <w:sz w:val="24"/>
        </w:rPr>
        <w:t>Edel</w:t>
      </w:r>
      <w:proofErr w:type="spellEnd"/>
      <w:r w:rsidR="00493681">
        <w:rPr>
          <w:sz w:val="24"/>
        </w:rPr>
        <w:t xml:space="preserve"> (2003) explica que </w:t>
      </w:r>
      <w:r w:rsidR="003C6188">
        <w:rPr>
          <w:sz w:val="24"/>
        </w:rPr>
        <w:t>existe un conflicto respecto a la dirección del reconocimiento</w:t>
      </w:r>
      <w:r w:rsidR="00067BE0">
        <w:rPr>
          <w:sz w:val="24"/>
        </w:rPr>
        <w:t>, “</w:t>
      </w:r>
      <w:r w:rsidR="00067BE0" w:rsidRPr="00067BE0">
        <w:rPr>
          <w:sz w:val="24"/>
        </w:rPr>
        <w:t>en el contexto escolar los profesores valoran más el esfuerzo que la habilidad</w:t>
      </w:r>
      <w:r w:rsidR="00067BE0">
        <w:rPr>
          <w:sz w:val="24"/>
        </w:rPr>
        <w:t xml:space="preserve">, (…) </w:t>
      </w:r>
      <w:r w:rsidR="00067BE0" w:rsidRPr="00067BE0">
        <w:rPr>
          <w:sz w:val="24"/>
        </w:rPr>
        <w:t>mientras un estudiante espera ser reconocido por su capacidad (lo cual resulta importante para su estima)</w:t>
      </w:r>
      <w:r w:rsidR="00067BE0">
        <w:rPr>
          <w:sz w:val="24"/>
        </w:rPr>
        <w:t>”</w:t>
      </w:r>
      <w:r w:rsidR="00370821">
        <w:rPr>
          <w:sz w:val="24"/>
        </w:rPr>
        <w:t>. (p. 2)</w:t>
      </w:r>
    </w:p>
    <w:p w:rsidR="004668C8" w:rsidRDefault="002B4F05" w:rsidP="00891126">
      <w:pPr>
        <w:spacing w:line="276" w:lineRule="auto"/>
        <w:jc w:val="both"/>
        <w:rPr>
          <w:sz w:val="24"/>
        </w:rPr>
      </w:pPr>
      <w:r>
        <w:rPr>
          <w:sz w:val="24"/>
        </w:rPr>
        <w:t xml:space="preserve">Por </w:t>
      </w:r>
      <w:r w:rsidR="007D2208">
        <w:rPr>
          <w:sz w:val="24"/>
        </w:rPr>
        <w:t xml:space="preserve">otra parte, </w:t>
      </w:r>
      <w:r w:rsidR="002F54E9" w:rsidRPr="002F54E9">
        <w:rPr>
          <w:sz w:val="24"/>
        </w:rPr>
        <w:t>Montero Rojas, Villalobos Palma, &amp; Valverde Bermúdez</w:t>
      </w:r>
      <w:r w:rsidR="00C45EF9">
        <w:rPr>
          <w:sz w:val="24"/>
        </w:rPr>
        <w:t xml:space="preserve"> </w:t>
      </w:r>
      <w:sdt>
        <w:sdtPr>
          <w:rPr>
            <w:sz w:val="24"/>
          </w:rPr>
          <w:id w:val="-1819644769"/>
          <w:citation/>
        </w:sdtPr>
        <w:sdtContent>
          <w:r w:rsidR="00C45EF9">
            <w:rPr>
              <w:sz w:val="24"/>
            </w:rPr>
            <w:fldChar w:fldCharType="begin"/>
          </w:r>
          <w:r w:rsidR="002F54E9">
            <w:rPr>
              <w:sz w:val="24"/>
            </w:rPr>
            <w:instrText xml:space="preserve">CITATION Mon07 \n  \t  \l 12298 </w:instrText>
          </w:r>
          <w:r w:rsidR="00C45EF9">
            <w:rPr>
              <w:sz w:val="24"/>
            </w:rPr>
            <w:fldChar w:fldCharType="separate"/>
          </w:r>
          <w:r w:rsidR="00A4238C" w:rsidRPr="00A4238C">
            <w:rPr>
              <w:noProof/>
              <w:sz w:val="24"/>
            </w:rPr>
            <w:t>(2007)</w:t>
          </w:r>
          <w:r w:rsidR="00C45EF9">
            <w:rPr>
              <w:sz w:val="24"/>
            </w:rPr>
            <w:fldChar w:fldCharType="end"/>
          </w:r>
        </w:sdtContent>
      </w:sdt>
      <w:r w:rsidR="00C45EF9">
        <w:rPr>
          <w:sz w:val="24"/>
        </w:rPr>
        <w:t xml:space="preserve"> afirma</w:t>
      </w:r>
      <w:r w:rsidR="00C14D02">
        <w:rPr>
          <w:sz w:val="24"/>
        </w:rPr>
        <w:t>n</w:t>
      </w:r>
      <w:r w:rsidR="00C45EF9">
        <w:rPr>
          <w:sz w:val="24"/>
        </w:rPr>
        <w:t xml:space="preserve"> que </w:t>
      </w:r>
      <w:r w:rsidR="007D2208" w:rsidRPr="007D2208">
        <w:rPr>
          <w:sz w:val="24"/>
        </w:rPr>
        <w:t>un resultado generalmente</w:t>
      </w:r>
      <w:r w:rsidR="007D2208">
        <w:rPr>
          <w:sz w:val="24"/>
        </w:rPr>
        <w:t xml:space="preserve"> </w:t>
      </w:r>
      <w:r w:rsidR="007D2208" w:rsidRPr="007D2208">
        <w:rPr>
          <w:sz w:val="24"/>
        </w:rPr>
        <w:t>aceptado es que existe una asociación significativa</w:t>
      </w:r>
      <w:r w:rsidR="007D2208">
        <w:rPr>
          <w:sz w:val="24"/>
        </w:rPr>
        <w:t xml:space="preserve"> </w:t>
      </w:r>
      <w:r w:rsidR="007D2208" w:rsidRPr="007D2208">
        <w:rPr>
          <w:sz w:val="24"/>
        </w:rPr>
        <w:t>entre el nivel socioeconómico del</w:t>
      </w:r>
      <w:r w:rsidR="007D2208">
        <w:rPr>
          <w:sz w:val="24"/>
        </w:rPr>
        <w:t xml:space="preserve"> </w:t>
      </w:r>
      <w:r w:rsidR="007D2208" w:rsidRPr="007D2208">
        <w:rPr>
          <w:sz w:val="24"/>
        </w:rPr>
        <w:t>estudiantado y su desempeño académico.</w:t>
      </w:r>
      <w:r w:rsidR="007D2208">
        <w:rPr>
          <w:sz w:val="24"/>
        </w:rPr>
        <w:t xml:space="preserve"> (p. 216)</w:t>
      </w:r>
      <w:r w:rsidR="00351CBF">
        <w:rPr>
          <w:sz w:val="24"/>
        </w:rPr>
        <w:t xml:space="preserve">. </w:t>
      </w:r>
      <w:r w:rsidR="00AF05AD">
        <w:rPr>
          <w:sz w:val="24"/>
        </w:rPr>
        <w:t xml:space="preserve">Aunque es poco lo que puede sugerirse </w:t>
      </w:r>
      <w:r w:rsidR="000340A4">
        <w:rPr>
          <w:sz w:val="24"/>
        </w:rPr>
        <w:t>(las becas son restrictivas)</w:t>
      </w:r>
      <w:r w:rsidR="00C14D02">
        <w:rPr>
          <w:sz w:val="24"/>
        </w:rPr>
        <w:t xml:space="preserve"> por parte de las instituciones</w:t>
      </w:r>
      <w:r w:rsidR="0040694B">
        <w:rPr>
          <w:sz w:val="24"/>
        </w:rPr>
        <w:t xml:space="preserve"> de educación, es un factor condicionante, que debe acompañarse de otras variables que permitan la rápida intervención de los responsables de</w:t>
      </w:r>
      <w:r w:rsidR="002C2E34">
        <w:rPr>
          <w:sz w:val="24"/>
        </w:rPr>
        <w:t xml:space="preserve"> alcanzar una educación de calidad.</w:t>
      </w:r>
    </w:p>
    <w:p w:rsidR="00B36771" w:rsidRDefault="00CB00E2" w:rsidP="00891126">
      <w:pPr>
        <w:spacing w:line="276" w:lineRule="auto"/>
        <w:jc w:val="both"/>
        <w:rPr>
          <w:sz w:val="24"/>
        </w:rPr>
      </w:pPr>
      <w:proofErr w:type="spellStart"/>
      <w:r>
        <w:rPr>
          <w:sz w:val="24"/>
        </w:rPr>
        <w:t>Mainardi</w:t>
      </w:r>
      <w:r w:rsidR="00962B11">
        <w:rPr>
          <w:sz w:val="24"/>
        </w:rPr>
        <w:t>-Remis</w:t>
      </w:r>
      <w:proofErr w:type="spellEnd"/>
      <w:sdt>
        <w:sdtPr>
          <w:rPr>
            <w:sz w:val="24"/>
          </w:rPr>
          <w:id w:val="407657879"/>
          <w:citation/>
        </w:sdtPr>
        <w:sdtContent>
          <w:r>
            <w:rPr>
              <w:sz w:val="24"/>
            </w:rPr>
            <w:fldChar w:fldCharType="begin"/>
          </w:r>
          <w:r w:rsidR="00962B11">
            <w:rPr>
              <w:sz w:val="24"/>
            </w:rPr>
            <w:instrText xml:space="preserve">CITATION Mai18 \n  \t  \l 12298 </w:instrText>
          </w:r>
          <w:r>
            <w:rPr>
              <w:sz w:val="24"/>
            </w:rPr>
            <w:fldChar w:fldCharType="separate"/>
          </w:r>
          <w:r w:rsidR="00A4238C">
            <w:rPr>
              <w:noProof/>
              <w:sz w:val="24"/>
            </w:rPr>
            <w:t xml:space="preserve"> </w:t>
          </w:r>
          <w:r w:rsidR="00A4238C" w:rsidRPr="00A4238C">
            <w:rPr>
              <w:noProof/>
              <w:sz w:val="24"/>
            </w:rPr>
            <w:t>(2018)</w:t>
          </w:r>
          <w:r>
            <w:rPr>
              <w:sz w:val="24"/>
            </w:rPr>
            <w:fldChar w:fldCharType="end"/>
          </w:r>
        </w:sdtContent>
      </w:sdt>
      <w:r w:rsidR="000340A4">
        <w:rPr>
          <w:sz w:val="24"/>
        </w:rPr>
        <w:t xml:space="preserve"> </w:t>
      </w:r>
      <w:r w:rsidR="00485EA7">
        <w:rPr>
          <w:sz w:val="24"/>
        </w:rPr>
        <w:t>realizó</w:t>
      </w:r>
      <w:r w:rsidR="00962B11">
        <w:rPr>
          <w:sz w:val="24"/>
        </w:rPr>
        <w:t xml:space="preserve"> una investigación para llamar la atención hacia la inclusión de estudiantes con capacidades especiales dentro de las instituciones de educación</w:t>
      </w:r>
      <w:r w:rsidR="00927718">
        <w:rPr>
          <w:sz w:val="24"/>
        </w:rPr>
        <w:t xml:space="preserve"> en dos universidades argentinas</w:t>
      </w:r>
      <w:r w:rsidR="000C1E40">
        <w:rPr>
          <w:sz w:val="24"/>
        </w:rPr>
        <w:t>. R</w:t>
      </w:r>
      <w:r w:rsidR="0022591F">
        <w:rPr>
          <w:sz w:val="24"/>
        </w:rPr>
        <w:t>elaciona al rendimiento académico con algunos factores entre ellos: el acceso, el factor humano, la actitud, aspectos legales, el factor organizacional, aspectos personales y los recursos económicos</w:t>
      </w:r>
      <w:r w:rsidR="006E0EF1">
        <w:rPr>
          <w:sz w:val="24"/>
        </w:rPr>
        <w:t xml:space="preserve">, dentro de sus resultados se destaca la autoestima dentro de los factores personales (44,2%), mientras los factores que obstaculizan la continuidad de sus estudios </w:t>
      </w:r>
      <w:r w:rsidR="00443A1D">
        <w:rPr>
          <w:sz w:val="24"/>
        </w:rPr>
        <w:t>son los factores actitudinales (24,04%), el acceso (20,19%).</w:t>
      </w:r>
      <w:r w:rsidR="00070665">
        <w:rPr>
          <w:sz w:val="24"/>
        </w:rPr>
        <w:t xml:space="preserve"> </w:t>
      </w:r>
      <w:r w:rsidR="00962B11">
        <w:rPr>
          <w:sz w:val="24"/>
        </w:rPr>
        <w:t xml:space="preserve"> </w:t>
      </w:r>
    </w:p>
    <w:p w:rsidR="00BB1483" w:rsidRDefault="000C1E40" w:rsidP="00891126">
      <w:pPr>
        <w:spacing w:line="276" w:lineRule="auto"/>
        <w:jc w:val="both"/>
        <w:rPr>
          <w:sz w:val="24"/>
        </w:rPr>
      </w:pPr>
      <w:r w:rsidRPr="000C1E40">
        <w:rPr>
          <w:sz w:val="24"/>
        </w:rPr>
        <w:t>Vergel-Ortega, Mart</w:t>
      </w:r>
      <w:r>
        <w:rPr>
          <w:sz w:val="24"/>
        </w:rPr>
        <w:t>ínez-Lozano, &amp; Zafra-</w:t>
      </w:r>
      <w:proofErr w:type="spellStart"/>
      <w:r>
        <w:rPr>
          <w:sz w:val="24"/>
        </w:rPr>
        <w:t>Tristancho</w:t>
      </w:r>
      <w:proofErr w:type="spellEnd"/>
      <w:r>
        <w:rPr>
          <w:sz w:val="24"/>
        </w:rPr>
        <w:t xml:space="preserve"> </w:t>
      </w:r>
      <w:sdt>
        <w:sdtPr>
          <w:rPr>
            <w:sz w:val="24"/>
          </w:rPr>
          <w:id w:val="449138288"/>
          <w:citation/>
        </w:sdtPr>
        <w:sdtContent>
          <w:r>
            <w:rPr>
              <w:sz w:val="24"/>
            </w:rPr>
            <w:fldChar w:fldCharType="begin"/>
          </w:r>
          <w:r>
            <w:rPr>
              <w:sz w:val="24"/>
            </w:rPr>
            <w:instrText xml:space="preserve">CITATION Ver16 \n  \t  \l 12298 </w:instrText>
          </w:r>
          <w:r>
            <w:rPr>
              <w:sz w:val="24"/>
            </w:rPr>
            <w:fldChar w:fldCharType="separate"/>
          </w:r>
          <w:r w:rsidR="00A4238C" w:rsidRPr="00A4238C">
            <w:rPr>
              <w:noProof/>
              <w:sz w:val="24"/>
            </w:rPr>
            <w:t>(2016)</w:t>
          </w:r>
          <w:r>
            <w:rPr>
              <w:sz w:val="24"/>
            </w:rPr>
            <w:fldChar w:fldCharType="end"/>
          </w:r>
        </w:sdtContent>
      </w:sdt>
      <w:r>
        <w:rPr>
          <w:sz w:val="24"/>
        </w:rPr>
        <w:t xml:space="preserve"> concluyen</w:t>
      </w:r>
      <w:r w:rsidR="003E2E01">
        <w:rPr>
          <w:sz w:val="24"/>
        </w:rPr>
        <w:t xml:space="preserve"> </w:t>
      </w:r>
      <w:r>
        <w:rPr>
          <w:sz w:val="24"/>
        </w:rPr>
        <w:t xml:space="preserve">que </w:t>
      </w:r>
      <w:r w:rsidRPr="000C1E40">
        <w:rPr>
          <w:sz w:val="24"/>
        </w:rPr>
        <w:t>el tipo y estilo</w:t>
      </w:r>
      <w:r>
        <w:rPr>
          <w:sz w:val="24"/>
        </w:rPr>
        <w:t xml:space="preserve"> </w:t>
      </w:r>
      <w:r w:rsidRPr="000C1E40">
        <w:rPr>
          <w:sz w:val="24"/>
        </w:rPr>
        <w:t>de aprendizaje, tipo de inteligencia, motivación,</w:t>
      </w:r>
      <w:r>
        <w:rPr>
          <w:sz w:val="24"/>
        </w:rPr>
        <w:t xml:space="preserve"> </w:t>
      </w:r>
      <w:r w:rsidRPr="000C1E40">
        <w:rPr>
          <w:sz w:val="24"/>
        </w:rPr>
        <w:t>conciencia de déficit son factores asociados al rendimiento</w:t>
      </w:r>
      <w:r>
        <w:rPr>
          <w:sz w:val="24"/>
        </w:rPr>
        <w:t xml:space="preserve"> </w:t>
      </w:r>
      <w:r w:rsidRPr="000C1E40">
        <w:rPr>
          <w:sz w:val="24"/>
        </w:rPr>
        <w:t>en adultos</w:t>
      </w:r>
      <w:r w:rsidR="003E2E01">
        <w:rPr>
          <w:sz w:val="24"/>
        </w:rPr>
        <w:t xml:space="preserve"> de 30 años</w:t>
      </w:r>
      <w:r w:rsidRPr="000C1E40">
        <w:rPr>
          <w:sz w:val="24"/>
        </w:rPr>
        <w:t>.</w:t>
      </w:r>
      <w:r w:rsidR="003E2E01">
        <w:rPr>
          <w:sz w:val="24"/>
        </w:rPr>
        <w:t xml:space="preserve"> (p. 206). De acuerdo al estudio desarrollado </w:t>
      </w:r>
      <w:r w:rsidR="0051182E">
        <w:rPr>
          <w:sz w:val="24"/>
        </w:rPr>
        <w:t>exponen la clara participación del docente y su metodología de enseñanza direccionada al pragmatismo por los múltiples roles que desempeñan</w:t>
      </w:r>
      <w:r w:rsidR="009B7123">
        <w:rPr>
          <w:sz w:val="24"/>
        </w:rPr>
        <w:t xml:space="preserve"> los estudiantes objeto del estudio.</w:t>
      </w:r>
    </w:p>
    <w:p w:rsidR="00BB1483" w:rsidRDefault="00BB1483" w:rsidP="00891126">
      <w:pPr>
        <w:spacing w:line="276" w:lineRule="auto"/>
        <w:jc w:val="both"/>
        <w:rPr>
          <w:sz w:val="24"/>
        </w:rPr>
      </w:pPr>
      <w:r>
        <w:rPr>
          <w:sz w:val="24"/>
        </w:rPr>
        <w:lastRenderedPageBreak/>
        <w:t>Los largos debates alrededor del rendimiento académico de los estudiantes universitarios adoptan diferentes posturas con el propósito de entender que elementos influyen en este; su estudio involucra desde “</w:t>
      </w:r>
      <w:r w:rsidRPr="00A61D79">
        <w:rPr>
          <w:sz w:val="24"/>
        </w:rPr>
        <w:t>Retención en la educación universitaria en Chile. Aplicación de un modelo de ecuaciones estructurales</w:t>
      </w:r>
      <w:r>
        <w:rPr>
          <w:sz w:val="24"/>
        </w:rPr>
        <w:t xml:space="preserve">” </w:t>
      </w:r>
      <w:sdt>
        <w:sdtPr>
          <w:rPr>
            <w:sz w:val="24"/>
          </w:rPr>
          <w:id w:val="-1596315798"/>
          <w:citation/>
        </w:sdtPr>
        <w:sdtContent>
          <w:r>
            <w:rPr>
              <w:sz w:val="24"/>
            </w:rPr>
            <w:fldChar w:fldCharType="begin"/>
          </w:r>
          <w:r>
            <w:rPr>
              <w:sz w:val="24"/>
            </w:rPr>
            <w:instrText xml:space="preserve">CITATION Aya18 \l 12298 </w:instrText>
          </w:r>
          <w:r>
            <w:rPr>
              <w:sz w:val="24"/>
            </w:rPr>
            <w:fldChar w:fldCharType="separate"/>
          </w:r>
          <w:r w:rsidR="00A4238C" w:rsidRPr="00A4238C">
            <w:rPr>
              <w:noProof/>
              <w:sz w:val="24"/>
            </w:rPr>
            <w:t>(Ayala &amp; Atencio, 2018)</w:t>
          </w:r>
          <w:r>
            <w:rPr>
              <w:sz w:val="24"/>
            </w:rPr>
            <w:fldChar w:fldCharType="end"/>
          </w:r>
        </w:sdtContent>
      </w:sdt>
      <w:r>
        <w:rPr>
          <w:sz w:val="24"/>
        </w:rPr>
        <w:t>; “</w:t>
      </w:r>
      <w:r w:rsidRPr="0000404C">
        <w:rPr>
          <w:sz w:val="24"/>
        </w:rPr>
        <w:t>Factores asociados a la permanencia de estudiantes</w:t>
      </w:r>
      <w:r>
        <w:rPr>
          <w:sz w:val="24"/>
        </w:rPr>
        <w:t xml:space="preserve"> </w:t>
      </w:r>
      <w:r w:rsidRPr="0000404C">
        <w:rPr>
          <w:sz w:val="24"/>
        </w:rPr>
        <w:t xml:space="preserve">universitarios: caso </w:t>
      </w:r>
      <w:r>
        <w:rPr>
          <w:sz w:val="24"/>
        </w:rPr>
        <w:t>UAMM</w:t>
      </w:r>
      <w:r w:rsidRPr="0000404C">
        <w:rPr>
          <w:sz w:val="24"/>
        </w:rPr>
        <w:t>-</w:t>
      </w:r>
      <w:r>
        <w:rPr>
          <w:sz w:val="24"/>
        </w:rPr>
        <w:t xml:space="preserve">UAT” </w:t>
      </w:r>
      <w:sdt>
        <w:sdtPr>
          <w:rPr>
            <w:sz w:val="24"/>
          </w:rPr>
          <w:id w:val="-1256665139"/>
          <w:citation/>
        </w:sdtPr>
        <w:sdtContent>
          <w:r>
            <w:rPr>
              <w:sz w:val="24"/>
            </w:rPr>
            <w:fldChar w:fldCharType="begin"/>
          </w:r>
          <w:r>
            <w:rPr>
              <w:sz w:val="24"/>
            </w:rPr>
            <w:instrText xml:space="preserve">CITATION Vél17 \l 12298 </w:instrText>
          </w:r>
          <w:r>
            <w:rPr>
              <w:sz w:val="24"/>
            </w:rPr>
            <w:fldChar w:fldCharType="separate"/>
          </w:r>
          <w:r w:rsidR="00A4238C" w:rsidRPr="00A4238C">
            <w:rPr>
              <w:noProof/>
              <w:sz w:val="24"/>
            </w:rPr>
            <w:t>(Velázquez Narváez, Medina, &amp; Mario, 2017)</w:t>
          </w:r>
          <w:r>
            <w:rPr>
              <w:sz w:val="24"/>
            </w:rPr>
            <w:fldChar w:fldCharType="end"/>
          </w:r>
        </w:sdtContent>
      </w:sdt>
      <w:r>
        <w:rPr>
          <w:sz w:val="24"/>
        </w:rPr>
        <w:t xml:space="preserve">  hasta “</w:t>
      </w:r>
      <w:r w:rsidRPr="00A61D79">
        <w:rPr>
          <w:sz w:val="24"/>
        </w:rPr>
        <w:t>Variables asociadas al rendimiento en el Examen</w:t>
      </w:r>
      <w:r>
        <w:rPr>
          <w:sz w:val="24"/>
        </w:rPr>
        <w:t xml:space="preserve"> General para el </w:t>
      </w:r>
      <w:r w:rsidRPr="00A61D79">
        <w:rPr>
          <w:sz w:val="24"/>
        </w:rPr>
        <w:t>Egreso de Licenciatura. El caso</w:t>
      </w:r>
      <w:r>
        <w:rPr>
          <w:sz w:val="24"/>
        </w:rPr>
        <w:t xml:space="preserve"> </w:t>
      </w:r>
      <w:r w:rsidRPr="00A61D79">
        <w:rPr>
          <w:sz w:val="24"/>
        </w:rPr>
        <w:t>de Psicología</w:t>
      </w:r>
      <w:r>
        <w:rPr>
          <w:sz w:val="24"/>
        </w:rPr>
        <w:t xml:space="preserve">” </w:t>
      </w:r>
      <w:sdt>
        <w:sdtPr>
          <w:rPr>
            <w:sz w:val="24"/>
          </w:rPr>
          <w:id w:val="1194889457"/>
          <w:citation/>
        </w:sdtPr>
        <w:sdtContent>
          <w:r>
            <w:rPr>
              <w:sz w:val="24"/>
            </w:rPr>
            <w:fldChar w:fldCharType="begin"/>
          </w:r>
          <w:r>
            <w:rPr>
              <w:sz w:val="24"/>
            </w:rPr>
            <w:instrText xml:space="preserve">CITATION alC16 \l 12298 </w:instrText>
          </w:r>
          <w:r>
            <w:rPr>
              <w:sz w:val="24"/>
            </w:rPr>
            <w:fldChar w:fldCharType="separate"/>
          </w:r>
          <w:r w:rsidR="00A4238C" w:rsidRPr="00A4238C">
            <w:rPr>
              <w:noProof/>
              <w:sz w:val="24"/>
            </w:rPr>
            <w:t>(Elías Jímenez, Caldera, Reynoso, &amp; Zamora, 2016)</w:t>
          </w:r>
          <w:r>
            <w:rPr>
              <w:sz w:val="24"/>
            </w:rPr>
            <w:fldChar w:fldCharType="end"/>
          </w:r>
        </w:sdtContent>
      </w:sdt>
      <w:r>
        <w:rPr>
          <w:sz w:val="24"/>
        </w:rPr>
        <w:t>; por mencionar algunos. El punto de convergencia entre los trabajos citados anteriormente radica en el uso de variables como la motivación, la infraestructura, los recursos financieros, la actitud, el comportamiento como elementos asociación al rendimiento académico. (</w:t>
      </w:r>
      <w:r w:rsidRPr="00502286">
        <w:rPr>
          <w:sz w:val="24"/>
        </w:rPr>
        <w:t xml:space="preserve">Ayala &amp; </w:t>
      </w:r>
      <w:proofErr w:type="spellStart"/>
      <w:r w:rsidRPr="00502286">
        <w:rPr>
          <w:sz w:val="24"/>
        </w:rPr>
        <w:t>Atencio</w:t>
      </w:r>
      <w:proofErr w:type="spellEnd"/>
      <w:r w:rsidRPr="00502286">
        <w:rPr>
          <w:sz w:val="24"/>
        </w:rPr>
        <w:t>, 2018</w:t>
      </w:r>
      <w:r>
        <w:rPr>
          <w:sz w:val="24"/>
        </w:rPr>
        <w:t xml:space="preserve">; </w:t>
      </w:r>
      <w:r w:rsidRPr="00502286">
        <w:rPr>
          <w:sz w:val="24"/>
        </w:rPr>
        <w:t>Velázquez Narváez, Medina, &amp; Mario, 2017)</w:t>
      </w:r>
      <w:r>
        <w:rPr>
          <w:sz w:val="24"/>
        </w:rPr>
        <w:t>.</w:t>
      </w:r>
    </w:p>
    <w:p w:rsidR="00E74980" w:rsidRDefault="0051182E" w:rsidP="00891126">
      <w:pPr>
        <w:spacing w:line="276" w:lineRule="auto"/>
        <w:jc w:val="both"/>
        <w:rPr>
          <w:b/>
          <w:sz w:val="24"/>
        </w:rPr>
      </w:pPr>
      <w:r>
        <w:rPr>
          <w:sz w:val="24"/>
        </w:rPr>
        <w:t xml:space="preserve"> </w:t>
      </w:r>
      <w:r w:rsidR="00E74980">
        <w:rPr>
          <w:b/>
          <w:sz w:val="24"/>
        </w:rPr>
        <w:t>Entonces ¿qué entender por rendimiento académico?</w:t>
      </w:r>
    </w:p>
    <w:p w:rsidR="006A0783" w:rsidRDefault="001216FF" w:rsidP="00891126">
      <w:pPr>
        <w:spacing w:line="276" w:lineRule="auto"/>
        <w:jc w:val="both"/>
        <w:rPr>
          <w:sz w:val="24"/>
        </w:rPr>
      </w:pPr>
      <w:r>
        <w:rPr>
          <w:sz w:val="24"/>
        </w:rPr>
        <w:t xml:space="preserve">Al respecto Garbanzo </w:t>
      </w:r>
      <w:sdt>
        <w:sdtPr>
          <w:rPr>
            <w:sz w:val="24"/>
          </w:rPr>
          <w:id w:val="-1209343580"/>
          <w:citation/>
        </w:sdtPr>
        <w:sdtContent>
          <w:r>
            <w:rPr>
              <w:sz w:val="24"/>
            </w:rPr>
            <w:fldChar w:fldCharType="begin"/>
          </w:r>
          <w:r>
            <w:rPr>
              <w:sz w:val="24"/>
            </w:rPr>
            <w:instrText xml:space="preserve">CITATION Gar07 \n  \t  \l 12298 </w:instrText>
          </w:r>
          <w:r>
            <w:rPr>
              <w:sz w:val="24"/>
            </w:rPr>
            <w:fldChar w:fldCharType="separate"/>
          </w:r>
          <w:r w:rsidR="00A4238C" w:rsidRPr="00A4238C">
            <w:rPr>
              <w:noProof/>
              <w:sz w:val="24"/>
            </w:rPr>
            <w:t>(2007)</w:t>
          </w:r>
          <w:r>
            <w:rPr>
              <w:sz w:val="24"/>
            </w:rPr>
            <w:fldChar w:fldCharType="end"/>
          </w:r>
        </w:sdtContent>
      </w:sdt>
      <w:r>
        <w:rPr>
          <w:sz w:val="24"/>
        </w:rPr>
        <w:t xml:space="preserve"> ofrece la siguiente aclaración, “e</w:t>
      </w:r>
      <w:r w:rsidRPr="001216FF">
        <w:rPr>
          <w:sz w:val="24"/>
        </w:rPr>
        <w:t>l rendimiento académico es la suma</w:t>
      </w:r>
      <w:r>
        <w:rPr>
          <w:sz w:val="24"/>
        </w:rPr>
        <w:t xml:space="preserve"> </w:t>
      </w:r>
      <w:r w:rsidRPr="001216FF">
        <w:rPr>
          <w:sz w:val="24"/>
        </w:rPr>
        <w:t>de diferentes y complejos factores que</w:t>
      </w:r>
      <w:r>
        <w:rPr>
          <w:sz w:val="24"/>
        </w:rPr>
        <w:t xml:space="preserve"> </w:t>
      </w:r>
      <w:r w:rsidRPr="001216FF">
        <w:rPr>
          <w:sz w:val="24"/>
        </w:rPr>
        <w:t>actúan en la persona que aprende, y ha</w:t>
      </w:r>
      <w:r>
        <w:rPr>
          <w:sz w:val="24"/>
        </w:rPr>
        <w:t xml:space="preserve"> </w:t>
      </w:r>
      <w:r w:rsidRPr="001216FF">
        <w:rPr>
          <w:sz w:val="24"/>
        </w:rPr>
        <w:t>sido definido con un valor atribuido al logro</w:t>
      </w:r>
      <w:r>
        <w:rPr>
          <w:sz w:val="24"/>
        </w:rPr>
        <w:t xml:space="preserve"> </w:t>
      </w:r>
      <w:r w:rsidRPr="001216FF">
        <w:rPr>
          <w:sz w:val="24"/>
        </w:rPr>
        <w:t>del estudiante en las tareas académicas</w:t>
      </w:r>
      <w:r>
        <w:rPr>
          <w:sz w:val="24"/>
        </w:rPr>
        <w:t>” (p. 46), la interacción de dichos factores directa o indirectamente</w:t>
      </w:r>
      <w:r w:rsidR="00316561">
        <w:rPr>
          <w:sz w:val="24"/>
        </w:rPr>
        <w:t xml:space="preserve"> constituyen un elemento explicativo a los resultados que </w:t>
      </w:r>
      <w:r w:rsidR="00316561">
        <w:rPr>
          <w:sz w:val="24"/>
        </w:rPr>
        <w:t>obtienen los estudiantes</w:t>
      </w:r>
      <w:r w:rsidR="006A0783">
        <w:rPr>
          <w:sz w:val="24"/>
        </w:rPr>
        <w:t xml:space="preserve"> durante el periodo de la carrera</w:t>
      </w:r>
      <w:r w:rsidR="002407B7">
        <w:rPr>
          <w:sz w:val="24"/>
        </w:rPr>
        <w:t>.</w:t>
      </w:r>
    </w:p>
    <w:p w:rsidR="00DF630D" w:rsidRDefault="00DF630D" w:rsidP="00891126">
      <w:pPr>
        <w:spacing w:line="276" w:lineRule="auto"/>
        <w:jc w:val="both"/>
        <w:rPr>
          <w:sz w:val="24"/>
        </w:rPr>
      </w:pPr>
      <w:r>
        <w:rPr>
          <w:sz w:val="24"/>
        </w:rPr>
        <w:t>Por la proliferación de investigaciones con un enfoque cuantitativo, las limitaciones de dichos estudios son instantáneas de es</w:t>
      </w:r>
      <w:r w:rsidR="004D642A">
        <w:rPr>
          <w:sz w:val="24"/>
        </w:rPr>
        <w:t>e momento y tienden a confundir el término, en este t</w:t>
      </w:r>
      <w:r w:rsidR="006A7C18">
        <w:rPr>
          <w:sz w:val="24"/>
        </w:rPr>
        <w:t xml:space="preserve">rabajo </w:t>
      </w:r>
      <w:r w:rsidR="00690FFD">
        <w:rPr>
          <w:sz w:val="24"/>
        </w:rPr>
        <w:t xml:space="preserve">se descompone </w:t>
      </w:r>
      <w:r w:rsidR="006A7C18">
        <w:rPr>
          <w:sz w:val="24"/>
        </w:rPr>
        <w:t>“</w:t>
      </w:r>
      <w:r w:rsidR="006A7C18" w:rsidRPr="006A7C18">
        <w:rPr>
          <w:sz w:val="24"/>
        </w:rPr>
        <w:t>diferenciar entre el rendimiento</w:t>
      </w:r>
      <w:r w:rsidR="006A7C18">
        <w:rPr>
          <w:sz w:val="24"/>
        </w:rPr>
        <w:t xml:space="preserve"> </w:t>
      </w:r>
      <w:r w:rsidR="006A7C18" w:rsidRPr="006A7C18">
        <w:rPr>
          <w:sz w:val="24"/>
        </w:rPr>
        <w:t>académico inmediato –refiriéndose a las</w:t>
      </w:r>
      <w:r w:rsidR="006A7C18">
        <w:rPr>
          <w:sz w:val="24"/>
        </w:rPr>
        <w:t xml:space="preserve"> </w:t>
      </w:r>
      <w:r w:rsidR="006A7C18" w:rsidRPr="006A7C18">
        <w:rPr>
          <w:sz w:val="24"/>
        </w:rPr>
        <w:t>notas–, y el mediato –refiriéndose a los</w:t>
      </w:r>
      <w:r w:rsidR="006A7C18">
        <w:rPr>
          <w:sz w:val="24"/>
        </w:rPr>
        <w:t xml:space="preserve"> </w:t>
      </w:r>
      <w:r w:rsidR="006A7C18" w:rsidRPr="006A7C18">
        <w:rPr>
          <w:sz w:val="24"/>
        </w:rPr>
        <w:t>log</w:t>
      </w:r>
      <w:r w:rsidR="006A7C18">
        <w:rPr>
          <w:sz w:val="24"/>
        </w:rPr>
        <w:t>ros personales y profesionales–”</w:t>
      </w:r>
      <w:r w:rsidR="00C01A6F">
        <w:rPr>
          <w:sz w:val="24"/>
        </w:rPr>
        <w:t xml:space="preserve"> (</w:t>
      </w:r>
      <w:proofErr w:type="spellStart"/>
      <w:r w:rsidR="00C01A6F">
        <w:rPr>
          <w:sz w:val="24"/>
        </w:rPr>
        <w:t>DeMiguel</w:t>
      </w:r>
      <w:proofErr w:type="spellEnd"/>
      <w:r w:rsidR="00C01A6F">
        <w:rPr>
          <w:sz w:val="24"/>
        </w:rPr>
        <w:t xml:space="preserve">, </w:t>
      </w:r>
      <w:r w:rsidR="00C01A6F" w:rsidRPr="00C01A6F">
        <w:rPr>
          <w:sz w:val="24"/>
        </w:rPr>
        <w:t>20</w:t>
      </w:r>
      <w:r w:rsidR="00C01A6F">
        <w:rPr>
          <w:sz w:val="24"/>
        </w:rPr>
        <w:t>01, citado por Garbanzo, 2007, p. 46)</w:t>
      </w:r>
      <w:r w:rsidR="00296279">
        <w:rPr>
          <w:sz w:val="24"/>
        </w:rPr>
        <w:t xml:space="preserve">; este último de naturaleza cualitativa </w:t>
      </w:r>
      <w:r w:rsidR="00A3364A">
        <w:rPr>
          <w:sz w:val="24"/>
        </w:rPr>
        <w:t xml:space="preserve">que precisa de un </w:t>
      </w:r>
      <w:r w:rsidR="00812ED4">
        <w:rPr>
          <w:sz w:val="24"/>
        </w:rPr>
        <w:t>seguimiento a graduados más profundo, y una clara concepción de éxitos o logros personales.</w:t>
      </w:r>
    </w:p>
    <w:p w:rsidR="008F0D22" w:rsidRPr="002B5FCE" w:rsidRDefault="00C6797B" w:rsidP="00891126">
      <w:pPr>
        <w:spacing w:line="276" w:lineRule="auto"/>
        <w:jc w:val="both"/>
        <w:rPr>
          <w:b/>
          <w:sz w:val="24"/>
        </w:rPr>
      </w:pPr>
      <w:r>
        <w:rPr>
          <w:b/>
          <w:sz w:val="24"/>
        </w:rPr>
        <w:t>¿Y cuáles pueden ser las variables asociada</w:t>
      </w:r>
      <w:r w:rsidR="00956785" w:rsidRPr="002B5FCE">
        <w:rPr>
          <w:b/>
          <w:sz w:val="24"/>
        </w:rPr>
        <w:t>s a</w:t>
      </w:r>
      <w:r w:rsidR="002B5FCE" w:rsidRPr="002B5FCE">
        <w:rPr>
          <w:b/>
          <w:sz w:val="24"/>
        </w:rPr>
        <w:t>l rendimiento académico?</w:t>
      </w:r>
    </w:p>
    <w:p w:rsidR="006C1021" w:rsidRDefault="002B5FCE" w:rsidP="00891126">
      <w:pPr>
        <w:spacing w:line="276" w:lineRule="auto"/>
        <w:jc w:val="both"/>
        <w:rPr>
          <w:sz w:val="24"/>
        </w:rPr>
      </w:pPr>
      <w:r>
        <w:rPr>
          <w:sz w:val="24"/>
        </w:rPr>
        <w:t xml:space="preserve">Para Tejedor &amp; </w:t>
      </w:r>
      <w:r w:rsidR="0017307B">
        <w:rPr>
          <w:sz w:val="24"/>
        </w:rPr>
        <w:t>García-Valcárcel (2007) “l</w:t>
      </w:r>
      <w:r w:rsidRPr="002B5FCE">
        <w:rPr>
          <w:sz w:val="24"/>
        </w:rPr>
        <w:t>as causas del bajo rendimiento</w:t>
      </w:r>
      <w:r w:rsidR="0017307B">
        <w:rPr>
          <w:sz w:val="24"/>
        </w:rPr>
        <w:t xml:space="preserve"> </w:t>
      </w:r>
      <w:r w:rsidRPr="002B5FCE">
        <w:rPr>
          <w:sz w:val="24"/>
        </w:rPr>
        <w:t>se han clasificado en tres categorías: institucionales, relacionadas con el profesor y relacionadas</w:t>
      </w:r>
      <w:r w:rsidR="0017307B">
        <w:rPr>
          <w:sz w:val="24"/>
        </w:rPr>
        <w:t xml:space="preserve"> </w:t>
      </w:r>
      <w:r w:rsidRPr="002B5FCE">
        <w:rPr>
          <w:sz w:val="24"/>
        </w:rPr>
        <w:t>con el alumno</w:t>
      </w:r>
      <w:r w:rsidR="0017307B">
        <w:rPr>
          <w:sz w:val="24"/>
        </w:rPr>
        <w:t>”</w:t>
      </w:r>
      <w:r w:rsidRPr="002B5FCE">
        <w:rPr>
          <w:sz w:val="24"/>
        </w:rPr>
        <w:t>.</w:t>
      </w:r>
      <w:r w:rsidR="0017307B">
        <w:rPr>
          <w:sz w:val="24"/>
        </w:rPr>
        <w:t xml:space="preserve"> </w:t>
      </w:r>
      <w:sdt>
        <w:sdtPr>
          <w:rPr>
            <w:sz w:val="24"/>
          </w:rPr>
          <w:id w:val="1761098417"/>
          <w:citation/>
        </w:sdtPr>
        <w:sdtContent>
          <w:r w:rsidR="0017307B">
            <w:rPr>
              <w:sz w:val="24"/>
            </w:rPr>
            <w:fldChar w:fldCharType="begin"/>
          </w:r>
          <w:r w:rsidR="00D06905">
            <w:rPr>
              <w:sz w:val="24"/>
            </w:rPr>
            <w:instrText xml:space="preserve">CITATION Tej07 \p 43 \n  \y  \t  \l 12298 </w:instrText>
          </w:r>
          <w:r w:rsidR="0017307B">
            <w:rPr>
              <w:sz w:val="24"/>
            </w:rPr>
            <w:fldChar w:fldCharType="separate"/>
          </w:r>
          <w:r w:rsidR="00A4238C" w:rsidRPr="00A4238C">
            <w:rPr>
              <w:noProof/>
              <w:sz w:val="24"/>
            </w:rPr>
            <w:t>(pág. 43)</w:t>
          </w:r>
          <w:r w:rsidR="0017307B">
            <w:rPr>
              <w:sz w:val="24"/>
            </w:rPr>
            <w:fldChar w:fldCharType="end"/>
          </w:r>
        </w:sdtContent>
      </w:sdt>
      <w:r w:rsidR="008F7AE8">
        <w:rPr>
          <w:sz w:val="24"/>
        </w:rPr>
        <w:t>. Mientras Garbanzo (2007) considera que los factores</w:t>
      </w:r>
      <w:r w:rsidR="008F7AE8" w:rsidRPr="008F7AE8">
        <w:t xml:space="preserve"> </w:t>
      </w:r>
      <w:r w:rsidR="008F7AE8">
        <w:t>“s</w:t>
      </w:r>
      <w:r w:rsidR="008F7AE8" w:rsidRPr="008F7AE8">
        <w:rPr>
          <w:sz w:val="24"/>
        </w:rPr>
        <w:t>e agrupan en tres categorías:</w:t>
      </w:r>
      <w:r w:rsidR="008F7AE8">
        <w:rPr>
          <w:sz w:val="24"/>
        </w:rPr>
        <w:t xml:space="preserve"> </w:t>
      </w:r>
      <w:r w:rsidR="008F7AE8" w:rsidRPr="008F7AE8">
        <w:rPr>
          <w:sz w:val="24"/>
        </w:rPr>
        <w:t>determinantes personales, determinantes sociales y</w:t>
      </w:r>
      <w:r w:rsidR="008F7AE8">
        <w:rPr>
          <w:sz w:val="24"/>
        </w:rPr>
        <w:t xml:space="preserve"> </w:t>
      </w:r>
      <w:r w:rsidR="008F7AE8" w:rsidRPr="008F7AE8">
        <w:rPr>
          <w:sz w:val="24"/>
        </w:rPr>
        <w:t>determinan</w:t>
      </w:r>
      <w:r w:rsidR="008F7AE8">
        <w:rPr>
          <w:sz w:val="24"/>
        </w:rPr>
        <w:t>tes institucionales que, al mismo tiempo</w:t>
      </w:r>
      <w:r w:rsidR="008F7AE8" w:rsidRPr="008F7AE8">
        <w:rPr>
          <w:sz w:val="24"/>
        </w:rPr>
        <w:t>, poseen sus</w:t>
      </w:r>
      <w:r w:rsidR="008F7AE8">
        <w:rPr>
          <w:sz w:val="24"/>
        </w:rPr>
        <w:t xml:space="preserve"> </w:t>
      </w:r>
      <w:r w:rsidR="008F7AE8" w:rsidRPr="008F7AE8">
        <w:rPr>
          <w:sz w:val="24"/>
        </w:rPr>
        <w:t>propios indicadores</w:t>
      </w:r>
      <w:r w:rsidR="008F7AE8">
        <w:rPr>
          <w:sz w:val="24"/>
        </w:rPr>
        <w:t>”</w:t>
      </w:r>
      <w:r w:rsidR="008F7AE8" w:rsidRPr="008F7AE8">
        <w:rPr>
          <w:sz w:val="24"/>
        </w:rPr>
        <w:t>.</w:t>
      </w:r>
      <w:r w:rsidR="008F7AE8">
        <w:rPr>
          <w:sz w:val="24"/>
        </w:rPr>
        <w:t xml:space="preserve"> (p. 43)</w:t>
      </w:r>
      <w:r w:rsidR="00DE4A1E">
        <w:rPr>
          <w:sz w:val="24"/>
        </w:rPr>
        <w:t>.</w:t>
      </w:r>
      <w:r w:rsidR="007C7CCC">
        <w:rPr>
          <w:sz w:val="24"/>
        </w:rPr>
        <w:t xml:space="preserve"> Ayala &amp; </w:t>
      </w:r>
      <w:proofErr w:type="spellStart"/>
      <w:r w:rsidR="007C7CCC">
        <w:rPr>
          <w:sz w:val="24"/>
        </w:rPr>
        <w:t>Atencio</w:t>
      </w:r>
      <w:proofErr w:type="spellEnd"/>
      <w:sdt>
        <w:sdtPr>
          <w:rPr>
            <w:sz w:val="24"/>
          </w:rPr>
          <w:id w:val="-546754627"/>
          <w:citation/>
        </w:sdtPr>
        <w:sdtContent>
          <w:r w:rsidR="007C7CCC">
            <w:rPr>
              <w:sz w:val="24"/>
            </w:rPr>
            <w:fldChar w:fldCharType="begin"/>
          </w:r>
          <w:r w:rsidR="007C7CCC">
            <w:rPr>
              <w:sz w:val="24"/>
            </w:rPr>
            <w:instrText xml:space="preserve">CITATION Aya18 \n  \t  \l 12298 </w:instrText>
          </w:r>
          <w:r w:rsidR="007C7CCC">
            <w:rPr>
              <w:sz w:val="24"/>
            </w:rPr>
            <w:fldChar w:fldCharType="separate"/>
          </w:r>
          <w:r w:rsidR="00A4238C">
            <w:rPr>
              <w:noProof/>
              <w:sz w:val="24"/>
            </w:rPr>
            <w:t xml:space="preserve"> </w:t>
          </w:r>
          <w:r w:rsidR="00A4238C" w:rsidRPr="00A4238C">
            <w:rPr>
              <w:noProof/>
              <w:sz w:val="24"/>
            </w:rPr>
            <w:t>(2018)</w:t>
          </w:r>
          <w:r w:rsidR="007C7CCC">
            <w:rPr>
              <w:sz w:val="24"/>
            </w:rPr>
            <w:fldChar w:fldCharType="end"/>
          </w:r>
        </w:sdtContent>
      </w:sdt>
      <w:r w:rsidR="00DE4A1E">
        <w:rPr>
          <w:sz w:val="24"/>
        </w:rPr>
        <w:t xml:space="preserve"> </w:t>
      </w:r>
      <w:r w:rsidR="007C7CCC">
        <w:rPr>
          <w:sz w:val="24"/>
        </w:rPr>
        <w:t>coinciden con las exposiciones anteriores</w:t>
      </w:r>
      <w:r w:rsidR="00D674DB">
        <w:rPr>
          <w:sz w:val="24"/>
        </w:rPr>
        <w:t xml:space="preserve"> y destacan los factores académicos-educativos, familiares y económicos.</w:t>
      </w:r>
    </w:p>
    <w:p w:rsidR="00DF7BEF" w:rsidRDefault="006C1021" w:rsidP="00891126">
      <w:pPr>
        <w:spacing w:line="276" w:lineRule="auto"/>
        <w:jc w:val="both"/>
        <w:rPr>
          <w:sz w:val="24"/>
        </w:rPr>
      </w:pPr>
      <w:r>
        <w:rPr>
          <w:sz w:val="24"/>
        </w:rPr>
        <w:t>En efecto l</w:t>
      </w:r>
      <w:r w:rsidR="00C6797B">
        <w:rPr>
          <w:sz w:val="24"/>
        </w:rPr>
        <w:t>as</w:t>
      </w:r>
      <w:r>
        <w:rPr>
          <w:sz w:val="24"/>
        </w:rPr>
        <w:t xml:space="preserve"> </w:t>
      </w:r>
      <w:r w:rsidR="00C6797B">
        <w:rPr>
          <w:sz w:val="24"/>
        </w:rPr>
        <w:t>variables económica</w:t>
      </w:r>
      <w:r>
        <w:rPr>
          <w:sz w:val="24"/>
        </w:rPr>
        <w:t>s, familiares, institucional</w:t>
      </w:r>
      <w:r w:rsidR="00D755DB">
        <w:rPr>
          <w:sz w:val="24"/>
        </w:rPr>
        <w:t>es, educativ</w:t>
      </w:r>
      <w:r w:rsidR="00C6797B">
        <w:rPr>
          <w:sz w:val="24"/>
        </w:rPr>
        <w:t>a</w:t>
      </w:r>
      <w:r w:rsidR="00D755DB">
        <w:rPr>
          <w:sz w:val="24"/>
        </w:rPr>
        <w:t>s</w:t>
      </w:r>
      <w:r w:rsidR="008C3F0D">
        <w:rPr>
          <w:sz w:val="24"/>
        </w:rPr>
        <w:t xml:space="preserve"> y psicológicas</w:t>
      </w:r>
      <w:r w:rsidR="00D755DB">
        <w:rPr>
          <w:sz w:val="24"/>
        </w:rPr>
        <w:t xml:space="preserve"> pueden influir en el desempeño en el campo laboral</w:t>
      </w:r>
      <w:r w:rsidR="00A74CC8">
        <w:rPr>
          <w:sz w:val="24"/>
        </w:rPr>
        <w:t xml:space="preserve"> (rendimiento mediato)</w:t>
      </w:r>
      <w:r w:rsidR="00C6797B">
        <w:rPr>
          <w:sz w:val="24"/>
        </w:rPr>
        <w:t xml:space="preserve">, pero se deben </w:t>
      </w:r>
      <w:r w:rsidR="00C6797B">
        <w:rPr>
          <w:sz w:val="24"/>
        </w:rPr>
        <w:lastRenderedPageBreak/>
        <w:t>considerar las variables de identificación</w:t>
      </w:r>
      <w:sdt>
        <w:sdtPr>
          <w:rPr>
            <w:sz w:val="24"/>
          </w:rPr>
          <w:id w:val="-1574275382"/>
          <w:citation/>
        </w:sdtPr>
        <w:sdtContent>
          <w:r w:rsidR="00670BD2">
            <w:rPr>
              <w:sz w:val="24"/>
            </w:rPr>
            <w:fldChar w:fldCharType="begin"/>
          </w:r>
          <w:r w:rsidR="00670BD2">
            <w:rPr>
              <w:sz w:val="24"/>
            </w:rPr>
            <w:instrText xml:space="preserve"> CITATION Tej07 \l 12298 </w:instrText>
          </w:r>
          <w:r w:rsidR="00670BD2">
            <w:rPr>
              <w:sz w:val="24"/>
            </w:rPr>
            <w:fldChar w:fldCharType="separate"/>
          </w:r>
          <w:r w:rsidR="00A4238C">
            <w:rPr>
              <w:noProof/>
              <w:sz w:val="24"/>
            </w:rPr>
            <w:t xml:space="preserve"> </w:t>
          </w:r>
          <w:r w:rsidR="00A4238C" w:rsidRPr="00A4238C">
            <w:rPr>
              <w:noProof/>
              <w:sz w:val="24"/>
            </w:rPr>
            <w:t>(Tejedor &amp; García-Valcárcel, 2007)</w:t>
          </w:r>
          <w:r w:rsidR="00670BD2">
            <w:rPr>
              <w:sz w:val="24"/>
            </w:rPr>
            <w:fldChar w:fldCharType="end"/>
          </w:r>
        </w:sdtContent>
      </w:sdt>
      <w:r w:rsidR="00A74CC8">
        <w:rPr>
          <w:sz w:val="24"/>
        </w:rPr>
        <w:t>.</w:t>
      </w:r>
      <w:r w:rsidR="003975C0">
        <w:rPr>
          <w:sz w:val="24"/>
        </w:rPr>
        <w:t xml:space="preserve"> El bosquejo teórico que surge a partir de</w:t>
      </w:r>
      <w:r w:rsidR="00DF7BEF">
        <w:rPr>
          <w:sz w:val="24"/>
        </w:rPr>
        <w:t xml:space="preserve"> estas aportaciones puede representarse de la siguiente manera:</w:t>
      </w:r>
    </w:p>
    <w:p w:rsidR="00A70A6F" w:rsidRDefault="00DF7BEF" w:rsidP="00891126">
      <w:pPr>
        <w:keepNext/>
        <w:spacing w:line="276" w:lineRule="auto"/>
        <w:jc w:val="both"/>
      </w:pPr>
      <w:r>
        <w:rPr>
          <w:noProof/>
          <w:sz w:val="24"/>
          <w:lang w:val="es-ES" w:eastAsia="es-ES"/>
        </w:rPr>
        <w:drawing>
          <wp:inline distT="0" distB="0" distL="0" distR="0" wp14:anchorId="55FD06AC" wp14:editId="66F5D4EA">
            <wp:extent cx="2276475" cy="1400175"/>
            <wp:effectExtent l="57150" t="0" r="66675" b="476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70A6F" w:rsidRDefault="00A70A6F" w:rsidP="00891126">
      <w:pPr>
        <w:pStyle w:val="Descripcin"/>
        <w:spacing w:line="276" w:lineRule="auto"/>
      </w:pPr>
      <w:r>
        <w:t xml:space="preserve">Figura </w:t>
      </w:r>
      <w:r w:rsidR="00CA344C">
        <w:rPr>
          <w:noProof/>
        </w:rPr>
        <w:fldChar w:fldCharType="begin"/>
      </w:r>
      <w:r w:rsidR="00CA344C">
        <w:rPr>
          <w:noProof/>
        </w:rPr>
        <w:instrText xml:space="preserve"> SEQ Figura \* ARABIC </w:instrText>
      </w:r>
      <w:r w:rsidR="00CA344C">
        <w:rPr>
          <w:noProof/>
        </w:rPr>
        <w:fldChar w:fldCharType="separate"/>
      </w:r>
      <w:r w:rsidR="00B71B71">
        <w:rPr>
          <w:noProof/>
        </w:rPr>
        <w:t>1</w:t>
      </w:r>
      <w:r w:rsidR="00CA344C">
        <w:rPr>
          <w:noProof/>
        </w:rPr>
        <w:fldChar w:fldCharType="end"/>
      </w:r>
      <w:r w:rsidR="00910BB2">
        <w:t xml:space="preserve">. </w:t>
      </w:r>
      <w:r w:rsidR="00C02279">
        <w:t>Dimensiones</w:t>
      </w:r>
      <w:r w:rsidR="00910BB2">
        <w:t xml:space="preserve"> asociada</w:t>
      </w:r>
      <w:r>
        <w:t>s al rendimiento académico</w:t>
      </w:r>
    </w:p>
    <w:p w:rsidR="00A70A6F" w:rsidRDefault="00A70A6F" w:rsidP="00891126">
      <w:pPr>
        <w:pStyle w:val="Descripcin"/>
        <w:spacing w:line="276" w:lineRule="auto"/>
      </w:pPr>
      <w:r>
        <w:t>Fuente:</w:t>
      </w:r>
      <w:r w:rsidR="00375A56">
        <w:t xml:space="preserve"> </w:t>
      </w:r>
      <w:sdt>
        <w:sdtPr>
          <w:id w:val="-1088624056"/>
          <w:citation/>
        </w:sdtPr>
        <w:sdtContent>
          <w:r w:rsidR="00375A56">
            <w:fldChar w:fldCharType="begin"/>
          </w:r>
          <w:r w:rsidR="00375A56">
            <w:instrText xml:space="preserve"> CITATION Gar07 \l 12298 </w:instrText>
          </w:r>
          <w:r w:rsidR="00375A56">
            <w:fldChar w:fldCharType="separate"/>
          </w:r>
          <w:r w:rsidR="00A4238C">
            <w:rPr>
              <w:noProof/>
            </w:rPr>
            <w:t>(Garbanzo Vargas, 2007)</w:t>
          </w:r>
          <w:r w:rsidR="00375A56">
            <w:fldChar w:fldCharType="end"/>
          </w:r>
        </w:sdtContent>
      </w:sdt>
      <w:sdt>
        <w:sdtPr>
          <w:id w:val="-1743710"/>
          <w:citation/>
        </w:sdtPr>
        <w:sdtContent>
          <w:r w:rsidR="00375A56">
            <w:fldChar w:fldCharType="begin"/>
          </w:r>
          <w:r w:rsidR="00375A56">
            <w:instrText xml:space="preserve"> CITATION Aya18 \l 12298 </w:instrText>
          </w:r>
          <w:r w:rsidR="00375A56">
            <w:fldChar w:fldCharType="separate"/>
          </w:r>
          <w:r w:rsidR="00A4238C">
            <w:rPr>
              <w:noProof/>
            </w:rPr>
            <w:t xml:space="preserve"> (Ayala &amp; Atencio, 2018)</w:t>
          </w:r>
          <w:r w:rsidR="00375A56">
            <w:fldChar w:fldCharType="end"/>
          </w:r>
        </w:sdtContent>
      </w:sdt>
      <w:sdt>
        <w:sdtPr>
          <w:id w:val="1030144698"/>
          <w:citation/>
        </w:sdtPr>
        <w:sdtContent>
          <w:r w:rsidR="00375A56">
            <w:fldChar w:fldCharType="begin"/>
          </w:r>
          <w:r w:rsidR="00375A56">
            <w:instrText xml:space="preserve"> CITATION Tej07 \l 12298 </w:instrText>
          </w:r>
          <w:r w:rsidR="00375A56">
            <w:fldChar w:fldCharType="separate"/>
          </w:r>
          <w:r w:rsidR="00A4238C">
            <w:rPr>
              <w:noProof/>
            </w:rPr>
            <w:t xml:space="preserve"> (Tejedor &amp; García-Valcárcel, 2007)</w:t>
          </w:r>
          <w:r w:rsidR="00375A56">
            <w:fldChar w:fldCharType="end"/>
          </w:r>
        </w:sdtContent>
      </w:sdt>
    </w:p>
    <w:p w:rsidR="00696662" w:rsidRDefault="00375A56" w:rsidP="00696662">
      <w:pPr>
        <w:spacing w:before="240" w:line="276" w:lineRule="auto"/>
        <w:jc w:val="both"/>
        <w:rPr>
          <w:sz w:val="24"/>
        </w:rPr>
      </w:pPr>
      <w:r>
        <w:rPr>
          <w:sz w:val="24"/>
        </w:rPr>
        <w:t xml:space="preserve">Desde luego cada uno de estos elementos pueden relacionarse </w:t>
      </w:r>
      <w:r w:rsidR="00803F51">
        <w:rPr>
          <w:sz w:val="24"/>
        </w:rPr>
        <w:t>causalmente</w:t>
      </w:r>
      <w:r w:rsidR="00DB0A50">
        <w:rPr>
          <w:sz w:val="24"/>
        </w:rPr>
        <w:t>, al tratar de medir est</w:t>
      </w:r>
      <w:r w:rsidR="003D06E3">
        <w:rPr>
          <w:sz w:val="24"/>
        </w:rPr>
        <w:t>as variables</w:t>
      </w:r>
      <w:r w:rsidR="00E27D1A">
        <w:rPr>
          <w:sz w:val="24"/>
        </w:rPr>
        <w:t>, considere la siguiente reflexión, “tengo dinero, accedo a la mejor infraestructura, los mejore</w:t>
      </w:r>
      <w:r w:rsidR="004A5DB1">
        <w:rPr>
          <w:sz w:val="24"/>
        </w:rPr>
        <w:t>s profesores los paga mi dinero, soy bueno”.</w:t>
      </w:r>
      <w:r w:rsidR="003E7C5F">
        <w:rPr>
          <w:sz w:val="24"/>
        </w:rPr>
        <w:t xml:space="preserve"> Exactamente lo contrario podría decir un alumno de clase media, estas afirmaciones sugieren una clara incidencia desde el factor económico</w:t>
      </w:r>
      <w:r w:rsidR="003D06E3">
        <w:rPr>
          <w:sz w:val="24"/>
        </w:rPr>
        <w:t xml:space="preserve"> hacia el resto de variables</w:t>
      </w:r>
      <w:r w:rsidR="003E7C5F">
        <w:rPr>
          <w:sz w:val="24"/>
        </w:rPr>
        <w:t xml:space="preserve"> y el rendimiento académico inmediato.</w:t>
      </w:r>
      <w:r w:rsidR="00FA6B33">
        <w:rPr>
          <w:sz w:val="24"/>
        </w:rPr>
        <w:t xml:space="preserve"> Probablemente esto </w:t>
      </w:r>
      <w:r w:rsidR="003D06E3">
        <w:rPr>
          <w:sz w:val="24"/>
        </w:rPr>
        <w:t>no ocurre con el factor pedagógico</w:t>
      </w:r>
      <w:r w:rsidR="00FA6B33">
        <w:rPr>
          <w:sz w:val="24"/>
        </w:rPr>
        <w:t xml:space="preserve">, o </w:t>
      </w:r>
      <w:r w:rsidR="003D06E3">
        <w:rPr>
          <w:sz w:val="24"/>
        </w:rPr>
        <w:t>psicológico;</w:t>
      </w:r>
      <w:r w:rsidR="00FA6B33">
        <w:rPr>
          <w:sz w:val="24"/>
        </w:rPr>
        <w:t xml:space="preserve"> o al me</w:t>
      </w:r>
      <w:r w:rsidR="000157CA">
        <w:rPr>
          <w:sz w:val="24"/>
        </w:rPr>
        <w:t>nos no al</w:t>
      </w:r>
      <w:r w:rsidR="00FA6B33">
        <w:rPr>
          <w:sz w:val="24"/>
        </w:rPr>
        <w:t>canza la misma magnitud del recurso monetario.</w:t>
      </w:r>
      <w:r w:rsidR="003E7C5F">
        <w:rPr>
          <w:sz w:val="24"/>
        </w:rPr>
        <w:t xml:space="preserve"> </w:t>
      </w:r>
      <w:sdt>
        <w:sdtPr>
          <w:rPr>
            <w:sz w:val="24"/>
          </w:rPr>
          <w:id w:val="1730189957"/>
          <w:citation/>
        </w:sdtPr>
        <w:sdtContent>
          <w:r w:rsidR="002644B6">
            <w:rPr>
              <w:sz w:val="24"/>
            </w:rPr>
            <w:fldChar w:fldCharType="begin"/>
          </w:r>
          <w:r w:rsidR="002644B6">
            <w:rPr>
              <w:sz w:val="24"/>
            </w:rPr>
            <w:instrText xml:space="preserve"> CITATION Tej07 \l 12298 </w:instrText>
          </w:r>
          <w:r w:rsidR="002644B6">
            <w:rPr>
              <w:sz w:val="24"/>
            </w:rPr>
            <w:fldChar w:fldCharType="separate"/>
          </w:r>
          <w:r w:rsidR="00A4238C" w:rsidRPr="00A4238C">
            <w:rPr>
              <w:noProof/>
              <w:sz w:val="24"/>
            </w:rPr>
            <w:t>(Tejedor &amp; García-Valcárcel, 2007)</w:t>
          </w:r>
          <w:r w:rsidR="002644B6">
            <w:rPr>
              <w:sz w:val="24"/>
            </w:rPr>
            <w:fldChar w:fldCharType="end"/>
          </w:r>
        </w:sdtContent>
      </w:sdt>
    </w:p>
    <w:p w:rsidR="002C23EB" w:rsidRPr="00696662" w:rsidRDefault="00B30471" w:rsidP="00696662">
      <w:pPr>
        <w:spacing w:before="240" w:line="276" w:lineRule="auto"/>
        <w:ind w:right="1559"/>
        <w:jc w:val="both"/>
        <w:rPr>
          <w:sz w:val="24"/>
        </w:rPr>
      </w:pPr>
      <w:r>
        <w:rPr>
          <w:noProof/>
          <w:sz w:val="24"/>
          <w:lang w:val="es-ES"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19050</wp:posOffset>
            </wp:positionV>
            <wp:extent cx="2762250" cy="2102485"/>
            <wp:effectExtent l="0" t="19050" r="19050" b="69215"/>
            <wp:wrapTight wrapText="bothSides">
              <wp:wrapPolygon edited="0">
                <wp:start x="0" y="-196"/>
                <wp:lineTo x="0" y="22115"/>
                <wp:lineTo x="16833" y="22115"/>
                <wp:lineTo x="19068" y="21724"/>
                <wp:lineTo x="21302" y="20158"/>
                <wp:lineTo x="21153" y="18593"/>
                <wp:lineTo x="21600" y="17418"/>
                <wp:lineTo x="21600" y="2936"/>
                <wp:lineTo x="20408" y="2740"/>
                <wp:lineTo x="17578" y="196"/>
                <wp:lineTo x="16833" y="-196"/>
                <wp:lineTo x="0" y="-196"/>
              </wp:wrapPolygon>
            </wp:wrapTight>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002C23EB">
        <w:t>Figura</w:t>
      </w:r>
      <w:r w:rsidR="00696662">
        <w:t xml:space="preserve"> 2</w:t>
      </w:r>
      <w:r w:rsidR="002C23EB">
        <w:t>. Algunos indicadores de las variables.</w:t>
      </w:r>
    </w:p>
    <w:p w:rsidR="00364CD8" w:rsidRPr="00364CD8" w:rsidRDefault="002C23EB" w:rsidP="00891126">
      <w:pPr>
        <w:pStyle w:val="Descripcin"/>
        <w:spacing w:line="276" w:lineRule="auto"/>
        <w:rPr>
          <w:sz w:val="24"/>
        </w:rPr>
      </w:pPr>
      <w:r>
        <w:t xml:space="preserve">Fuente: </w:t>
      </w:r>
      <w:sdt>
        <w:sdtPr>
          <w:id w:val="-1828967262"/>
          <w:citation/>
        </w:sdtPr>
        <w:sdtContent>
          <w:r>
            <w:fldChar w:fldCharType="begin"/>
          </w:r>
          <w:r>
            <w:instrText xml:space="preserve"> CITATION Tej07 \l 12298 </w:instrText>
          </w:r>
          <w:r>
            <w:fldChar w:fldCharType="separate"/>
          </w:r>
          <w:r w:rsidR="00A4238C">
            <w:rPr>
              <w:noProof/>
            </w:rPr>
            <w:t>(Tejedor &amp; García-Valcárcel, 2007)</w:t>
          </w:r>
          <w:r>
            <w:fldChar w:fldCharType="end"/>
          </w:r>
        </w:sdtContent>
      </w:sdt>
      <w:sdt>
        <w:sdtPr>
          <w:id w:val="1769428661"/>
          <w:citation/>
        </w:sdtPr>
        <w:sdtContent>
          <w:r>
            <w:fldChar w:fldCharType="begin"/>
          </w:r>
          <w:r>
            <w:instrText xml:space="preserve"> CITATION Gar07 \l 12298 </w:instrText>
          </w:r>
          <w:r>
            <w:fldChar w:fldCharType="separate"/>
          </w:r>
          <w:r w:rsidR="00A4238C">
            <w:rPr>
              <w:noProof/>
            </w:rPr>
            <w:t xml:space="preserve"> (Garbanzo Vargas, 2007)</w:t>
          </w:r>
          <w:r>
            <w:fldChar w:fldCharType="end"/>
          </w:r>
        </w:sdtContent>
      </w:sdt>
    </w:p>
    <w:p w:rsidR="001D5A7D" w:rsidRDefault="0016733C" w:rsidP="00891126">
      <w:pPr>
        <w:spacing w:before="240" w:line="276" w:lineRule="auto"/>
        <w:jc w:val="both"/>
        <w:rPr>
          <w:sz w:val="24"/>
        </w:rPr>
      </w:pPr>
      <w:r>
        <w:rPr>
          <w:sz w:val="24"/>
        </w:rPr>
        <w:t xml:space="preserve">Normalmente en la dimensión psicológica se refleja “el nivel de aspiraciones </w:t>
      </w:r>
      <w:r w:rsidRPr="0016733C">
        <w:rPr>
          <w:sz w:val="24"/>
        </w:rPr>
        <w:t>que tiene</w:t>
      </w:r>
      <w:r>
        <w:rPr>
          <w:sz w:val="24"/>
        </w:rPr>
        <w:t xml:space="preserve"> </w:t>
      </w:r>
      <w:r w:rsidRPr="0016733C">
        <w:rPr>
          <w:sz w:val="24"/>
        </w:rPr>
        <w:t>el estudiante está determinado por el entorno familiar</w:t>
      </w:r>
      <w:r>
        <w:rPr>
          <w:sz w:val="24"/>
        </w:rPr>
        <w:t xml:space="preserve"> (…) </w:t>
      </w:r>
      <w:r w:rsidRPr="0016733C">
        <w:rPr>
          <w:sz w:val="24"/>
        </w:rPr>
        <w:t>de tal forma que a través de éstos se generan valores y expectativas de éxito que dan como</w:t>
      </w:r>
      <w:r>
        <w:rPr>
          <w:sz w:val="24"/>
        </w:rPr>
        <w:t xml:space="preserve"> consecuencia un mejor desempeño” (</w:t>
      </w:r>
      <w:proofErr w:type="spellStart"/>
      <w:r>
        <w:rPr>
          <w:sz w:val="24"/>
        </w:rPr>
        <w:t>Ethington</w:t>
      </w:r>
      <w:proofErr w:type="spellEnd"/>
      <w:r>
        <w:rPr>
          <w:sz w:val="24"/>
        </w:rPr>
        <w:t xml:space="preserve">, 1990, citado por </w:t>
      </w:r>
      <w:r w:rsidRPr="0016733C">
        <w:rPr>
          <w:sz w:val="24"/>
        </w:rPr>
        <w:t>Velázquez Narváez, Medina, &amp; Mario</w:t>
      </w:r>
      <w:r>
        <w:rPr>
          <w:sz w:val="24"/>
        </w:rPr>
        <w:t xml:space="preserve">  </w:t>
      </w:r>
      <w:sdt>
        <w:sdtPr>
          <w:rPr>
            <w:sz w:val="24"/>
          </w:rPr>
          <w:id w:val="1274126480"/>
          <w:citation/>
        </w:sdtPr>
        <w:sdtContent>
          <w:r>
            <w:rPr>
              <w:sz w:val="24"/>
            </w:rPr>
            <w:fldChar w:fldCharType="begin"/>
          </w:r>
          <w:r>
            <w:rPr>
              <w:sz w:val="24"/>
            </w:rPr>
            <w:instrText xml:space="preserve">CITATION Vél17 \n  \t  \l 12298 </w:instrText>
          </w:r>
          <w:r>
            <w:rPr>
              <w:sz w:val="24"/>
            </w:rPr>
            <w:fldChar w:fldCharType="separate"/>
          </w:r>
          <w:r w:rsidR="00A4238C" w:rsidRPr="00A4238C">
            <w:rPr>
              <w:noProof/>
              <w:sz w:val="24"/>
            </w:rPr>
            <w:t>(2017)</w:t>
          </w:r>
          <w:r>
            <w:rPr>
              <w:sz w:val="24"/>
            </w:rPr>
            <w:fldChar w:fldCharType="end"/>
          </w:r>
        </w:sdtContent>
      </w:sdt>
      <w:r>
        <w:rPr>
          <w:sz w:val="24"/>
        </w:rPr>
        <w:t>, p. 120)</w:t>
      </w:r>
    </w:p>
    <w:p w:rsidR="00E74980" w:rsidRDefault="005E6D2C" w:rsidP="00891126">
      <w:pPr>
        <w:spacing w:before="240" w:line="276" w:lineRule="auto"/>
        <w:jc w:val="both"/>
        <w:rPr>
          <w:sz w:val="24"/>
        </w:rPr>
      </w:pPr>
      <w:r>
        <w:rPr>
          <w:sz w:val="24"/>
        </w:rPr>
        <w:t>La mayor parte del tiempo, los estudiantes universitarios, conviven con profesores y compañeros</w:t>
      </w:r>
      <w:r w:rsidR="003C3C5F">
        <w:rPr>
          <w:sz w:val="24"/>
        </w:rPr>
        <w:t xml:space="preserve"> bajo una identidad institucional, de ahí la necesidad </w:t>
      </w:r>
      <w:r w:rsidR="0050217B">
        <w:rPr>
          <w:sz w:val="24"/>
        </w:rPr>
        <w:t>la importancia del compromiso</w:t>
      </w:r>
      <w:r w:rsidR="003C3C5F">
        <w:rPr>
          <w:sz w:val="24"/>
        </w:rPr>
        <w:t xml:space="preserve"> del estudiante con la institución uni</w:t>
      </w:r>
      <w:r w:rsidR="0063111D">
        <w:rPr>
          <w:sz w:val="24"/>
        </w:rPr>
        <w:t>versitaria (perte</w:t>
      </w:r>
      <w:r w:rsidR="003C3C5F">
        <w:rPr>
          <w:sz w:val="24"/>
        </w:rPr>
        <w:t>nencia)</w:t>
      </w:r>
      <w:r w:rsidR="005D387E">
        <w:rPr>
          <w:sz w:val="24"/>
        </w:rPr>
        <w:t xml:space="preserve"> y </w:t>
      </w:r>
      <w:r w:rsidR="0050217B">
        <w:rPr>
          <w:sz w:val="24"/>
        </w:rPr>
        <w:t xml:space="preserve">los </w:t>
      </w:r>
      <w:r w:rsidR="005D387E">
        <w:rPr>
          <w:sz w:val="24"/>
        </w:rPr>
        <w:t xml:space="preserve">procesos pedagógicos más que teóricos </w:t>
      </w:r>
      <w:r w:rsidR="0050217B">
        <w:rPr>
          <w:sz w:val="24"/>
        </w:rPr>
        <w:t>vivenciales, porque pueden fortalecer o corregir acciones en otras dimens</w:t>
      </w:r>
      <w:r w:rsidR="00B87FB6">
        <w:rPr>
          <w:sz w:val="24"/>
        </w:rPr>
        <w:t>i</w:t>
      </w:r>
      <w:r w:rsidR="0050217B">
        <w:rPr>
          <w:sz w:val="24"/>
        </w:rPr>
        <w:t>ones</w:t>
      </w:r>
      <w:sdt>
        <w:sdtPr>
          <w:rPr>
            <w:sz w:val="24"/>
          </w:rPr>
          <w:id w:val="1488123820"/>
          <w:citation/>
        </w:sdtPr>
        <w:sdtContent>
          <w:r w:rsidR="00B87FB6">
            <w:rPr>
              <w:sz w:val="24"/>
            </w:rPr>
            <w:fldChar w:fldCharType="begin"/>
          </w:r>
          <w:r w:rsidR="00B87FB6">
            <w:rPr>
              <w:sz w:val="24"/>
            </w:rPr>
            <w:instrText xml:space="preserve"> CITATION Aya18 \l 12298 </w:instrText>
          </w:r>
          <w:r w:rsidR="00B87FB6">
            <w:rPr>
              <w:sz w:val="24"/>
            </w:rPr>
            <w:fldChar w:fldCharType="separate"/>
          </w:r>
          <w:r w:rsidR="00A4238C">
            <w:rPr>
              <w:noProof/>
              <w:sz w:val="24"/>
            </w:rPr>
            <w:t xml:space="preserve"> </w:t>
          </w:r>
          <w:r w:rsidR="00A4238C" w:rsidRPr="00A4238C">
            <w:rPr>
              <w:noProof/>
              <w:sz w:val="24"/>
            </w:rPr>
            <w:t>(Ayala &amp; Atencio, 2018)</w:t>
          </w:r>
          <w:r w:rsidR="00B87FB6">
            <w:rPr>
              <w:sz w:val="24"/>
            </w:rPr>
            <w:fldChar w:fldCharType="end"/>
          </w:r>
        </w:sdtContent>
      </w:sdt>
      <w:r w:rsidR="0050217B">
        <w:rPr>
          <w:sz w:val="24"/>
        </w:rPr>
        <w:t>.</w:t>
      </w:r>
      <w:r w:rsidR="00B87FB6">
        <w:rPr>
          <w:sz w:val="24"/>
        </w:rPr>
        <w:t xml:space="preserve"> Sin duda, los procesos de aprendizaje colaborativo y </w:t>
      </w:r>
      <w:r w:rsidR="00B87FB6">
        <w:rPr>
          <w:sz w:val="24"/>
        </w:rPr>
        <w:lastRenderedPageBreak/>
        <w:t>multidi</w:t>
      </w:r>
      <w:r w:rsidR="00941478">
        <w:rPr>
          <w:sz w:val="24"/>
        </w:rPr>
        <w:t>sciplinario, en la actualidad son</w:t>
      </w:r>
      <w:r w:rsidR="00B87FB6">
        <w:rPr>
          <w:sz w:val="24"/>
        </w:rPr>
        <w:t xml:space="preserve"> tan necesario</w:t>
      </w:r>
      <w:r w:rsidR="00941478">
        <w:rPr>
          <w:sz w:val="24"/>
        </w:rPr>
        <w:t>s como los recursos financieros, pero estos ocurren informalmente, generalmente son espacios donde las barreras del salón se vuelven invisibles y existe confianza para desarrollar grupos, asociaciones</w:t>
      </w:r>
      <w:r w:rsidR="00E56CDE">
        <w:rPr>
          <w:sz w:val="24"/>
        </w:rPr>
        <w:t>, brigadas</w:t>
      </w:r>
      <w:r w:rsidR="00941478">
        <w:rPr>
          <w:sz w:val="24"/>
        </w:rPr>
        <w:t xml:space="preserve"> y emprendimientos, de hecho, los centros de emprendimiento son responsables de </w:t>
      </w:r>
      <w:r w:rsidR="004138B3">
        <w:rPr>
          <w:sz w:val="24"/>
        </w:rPr>
        <w:t>conjugar y construir estos espacios, entre algunos ejemplos que funcionan se encuentra el Tecnológico de Monterrey</w:t>
      </w:r>
      <w:r w:rsidR="00F06C3E">
        <w:rPr>
          <w:sz w:val="24"/>
        </w:rPr>
        <w:t>.</w:t>
      </w:r>
    </w:p>
    <w:p w:rsidR="00E74980" w:rsidRPr="00E74980" w:rsidRDefault="003F1500" w:rsidP="00891126">
      <w:pPr>
        <w:spacing w:line="276" w:lineRule="auto"/>
        <w:jc w:val="both"/>
        <w:rPr>
          <w:b/>
          <w:sz w:val="24"/>
        </w:rPr>
      </w:pPr>
      <w:r>
        <w:rPr>
          <w:b/>
          <w:sz w:val="24"/>
        </w:rPr>
        <w:t>Materiales y métodos</w:t>
      </w:r>
    </w:p>
    <w:p w:rsidR="006B50F0" w:rsidRPr="00544CE4" w:rsidRDefault="00556DAA" w:rsidP="00891126">
      <w:pPr>
        <w:spacing w:line="276" w:lineRule="auto"/>
        <w:jc w:val="both"/>
        <w:rPr>
          <w:sz w:val="24"/>
        </w:rPr>
      </w:pPr>
      <w:r>
        <w:rPr>
          <w:sz w:val="24"/>
        </w:rPr>
        <w:t xml:space="preserve">Este trabajo es de tipo no experimental, cuantitativo y descriptivo. El universo de estudio lo componen los estudiantes matriculados a la carrera de Administración de Empresas. Los alumnos que participaron del proceso de investigación cursaban </w:t>
      </w:r>
      <w:r w:rsidR="002F0A41">
        <w:rPr>
          <w:sz w:val="24"/>
        </w:rPr>
        <w:t>cuarto</w:t>
      </w:r>
      <w:r>
        <w:rPr>
          <w:sz w:val="24"/>
        </w:rPr>
        <w:t xml:space="preserve">, </w:t>
      </w:r>
      <w:r w:rsidR="002F0A41">
        <w:rPr>
          <w:sz w:val="24"/>
        </w:rPr>
        <w:t>sexto</w:t>
      </w:r>
      <w:r w:rsidR="00544CE4">
        <w:rPr>
          <w:sz w:val="24"/>
        </w:rPr>
        <w:t xml:space="preserve">, </w:t>
      </w:r>
      <w:r w:rsidR="002F0A41">
        <w:rPr>
          <w:sz w:val="24"/>
        </w:rPr>
        <w:t>séptimo y octavo</w:t>
      </w:r>
      <w:r>
        <w:rPr>
          <w:sz w:val="24"/>
        </w:rPr>
        <w:t xml:space="preserve"> nivel durante el periodo académico </w:t>
      </w:r>
      <w:r>
        <w:rPr>
          <w:rFonts w:cs="Times New Roman"/>
          <w:sz w:val="24"/>
        </w:rPr>
        <w:t>octubre 201</w:t>
      </w:r>
      <w:r w:rsidR="002F0A41">
        <w:rPr>
          <w:rFonts w:cs="Times New Roman"/>
          <w:sz w:val="24"/>
        </w:rPr>
        <w:t>8</w:t>
      </w:r>
      <w:r>
        <w:rPr>
          <w:rFonts w:cs="Times New Roman"/>
          <w:sz w:val="24"/>
        </w:rPr>
        <w:t xml:space="preserve"> y febrero 201</w:t>
      </w:r>
      <w:r w:rsidR="002F0A41">
        <w:rPr>
          <w:rFonts w:cs="Times New Roman"/>
          <w:sz w:val="24"/>
        </w:rPr>
        <w:t>9</w:t>
      </w:r>
      <w:r>
        <w:rPr>
          <w:rFonts w:cs="Times New Roman"/>
          <w:sz w:val="24"/>
        </w:rPr>
        <w:t xml:space="preserve">. Con una población total de </w:t>
      </w:r>
      <w:r w:rsidR="00F02775">
        <w:rPr>
          <w:rFonts w:cs="Times New Roman"/>
          <w:sz w:val="24"/>
        </w:rPr>
        <w:t xml:space="preserve">437 estudiantes. El tamaño de la muestra, fue de 205 participantes, se calculó probabilísticamente fijando un nivel de confianza del 95% y un margen de error </w:t>
      </w:r>
      <w:proofErr w:type="gramStart"/>
      <w:r w:rsidR="00F02775">
        <w:rPr>
          <w:rFonts w:cs="Times New Roman"/>
          <w:sz w:val="24"/>
        </w:rPr>
        <w:t>del 5%</w:t>
      </w:r>
      <w:r w:rsidR="006B50F0">
        <w:rPr>
          <w:rFonts w:cs="Times New Roman"/>
          <w:sz w:val="24"/>
        </w:rPr>
        <w:t>, seleccionados</w:t>
      </w:r>
      <w:proofErr w:type="gramEnd"/>
      <w:r w:rsidR="006B50F0">
        <w:rPr>
          <w:rFonts w:cs="Times New Roman"/>
          <w:sz w:val="24"/>
        </w:rPr>
        <w:t xml:space="preserve"> aleatoriamente.</w:t>
      </w:r>
    </w:p>
    <w:p w:rsidR="0041231B" w:rsidRDefault="003D6782" w:rsidP="00891126">
      <w:pPr>
        <w:spacing w:line="276" w:lineRule="auto"/>
        <w:jc w:val="both"/>
        <w:rPr>
          <w:rFonts w:cs="Times New Roman"/>
          <w:sz w:val="24"/>
        </w:rPr>
      </w:pPr>
      <w:r>
        <w:rPr>
          <w:rFonts w:cs="Times New Roman"/>
          <w:sz w:val="24"/>
        </w:rPr>
        <w:t>El modelo teórico sometido a evaluación, se construyó en base a la revisión de literatura anteriormente descrita, las variables independientes estuvieron conformadas por c</w:t>
      </w:r>
      <w:r w:rsidR="00E15D39">
        <w:rPr>
          <w:rFonts w:cs="Times New Roman"/>
          <w:sz w:val="24"/>
        </w:rPr>
        <w:t>uatr</w:t>
      </w:r>
      <w:r>
        <w:rPr>
          <w:rFonts w:cs="Times New Roman"/>
          <w:sz w:val="24"/>
        </w:rPr>
        <w:t>o dimensiones</w:t>
      </w:r>
      <w:r w:rsidR="00B35021">
        <w:rPr>
          <w:rFonts w:cs="Times New Roman"/>
          <w:sz w:val="24"/>
        </w:rPr>
        <w:t xml:space="preserve">: </w:t>
      </w:r>
      <w:r>
        <w:rPr>
          <w:rFonts w:cs="Times New Roman"/>
          <w:sz w:val="24"/>
        </w:rPr>
        <w:t xml:space="preserve">condiciones socio familiares, pedagógicas, institucionales y psicológicas, mientras la variable dependiente corresponde a los resultados del rendimiento académico inmediato de los estudiantes de la carrera de </w:t>
      </w:r>
      <w:r>
        <w:rPr>
          <w:rFonts w:cs="Times New Roman"/>
          <w:sz w:val="24"/>
        </w:rPr>
        <w:t>Administración de Empresas de la UPEC</w:t>
      </w:r>
      <w:r w:rsidR="00B35021">
        <w:rPr>
          <w:rFonts w:cs="Times New Roman"/>
          <w:sz w:val="24"/>
        </w:rPr>
        <w:t xml:space="preserve"> medida por a) r</w:t>
      </w:r>
      <w:r w:rsidR="00B35021" w:rsidRPr="00B35021">
        <w:rPr>
          <w:rFonts w:cs="Times New Roman"/>
          <w:sz w:val="24"/>
        </w:rPr>
        <w:t>endimiento académico dentro de la trayectoria universitaria</w:t>
      </w:r>
      <w:r w:rsidR="00B35021">
        <w:rPr>
          <w:rFonts w:cs="Times New Roman"/>
          <w:sz w:val="24"/>
        </w:rPr>
        <w:t xml:space="preserve"> y b) autoeficacia</w:t>
      </w:r>
      <w:r w:rsidR="00F802BF">
        <w:rPr>
          <w:rFonts w:cs="Times New Roman"/>
          <w:sz w:val="24"/>
        </w:rPr>
        <w:t>.</w:t>
      </w:r>
    </w:p>
    <w:p w:rsidR="001D5A7D" w:rsidRDefault="001D5A7D" w:rsidP="00891126">
      <w:pPr>
        <w:spacing w:line="276" w:lineRule="auto"/>
        <w:jc w:val="both"/>
        <w:rPr>
          <w:rFonts w:cs="Times New Roman"/>
          <w:sz w:val="24"/>
        </w:rPr>
      </w:pPr>
      <w:r>
        <w:rPr>
          <w:rFonts w:cs="Times New Roman"/>
          <w:sz w:val="24"/>
        </w:rPr>
        <w:t>Consideran</w:t>
      </w:r>
      <w:r w:rsidR="003F1500">
        <w:rPr>
          <w:rFonts w:cs="Times New Roman"/>
          <w:sz w:val="24"/>
        </w:rPr>
        <w:t xml:space="preserve">do las premisas expuestas por </w:t>
      </w:r>
      <w:r w:rsidR="003F1500" w:rsidRPr="003F1500">
        <w:rPr>
          <w:rFonts w:cs="Times New Roman"/>
          <w:sz w:val="24"/>
        </w:rPr>
        <w:t>Ruiz, Pardo, &amp; San Martín</w:t>
      </w:r>
      <w:r w:rsidR="003F1500">
        <w:rPr>
          <w:rFonts w:cs="Times New Roman"/>
          <w:sz w:val="24"/>
        </w:rPr>
        <w:t xml:space="preserve"> </w:t>
      </w:r>
      <w:sdt>
        <w:sdtPr>
          <w:rPr>
            <w:rFonts w:cs="Times New Roman"/>
            <w:sz w:val="24"/>
          </w:rPr>
          <w:id w:val="855542600"/>
          <w:citation/>
        </w:sdtPr>
        <w:sdtContent>
          <w:r w:rsidR="003F1500">
            <w:rPr>
              <w:rFonts w:cs="Times New Roman"/>
              <w:sz w:val="24"/>
            </w:rPr>
            <w:fldChar w:fldCharType="begin"/>
          </w:r>
          <w:r w:rsidR="003F1500">
            <w:rPr>
              <w:rFonts w:cs="Times New Roman"/>
              <w:sz w:val="24"/>
            </w:rPr>
            <w:instrText xml:space="preserve">CITATION Rui10 \n  \t  \l 12298 </w:instrText>
          </w:r>
          <w:r w:rsidR="003F1500">
            <w:rPr>
              <w:rFonts w:cs="Times New Roman"/>
              <w:sz w:val="24"/>
            </w:rPr>
            <w:fldChar w:fldCharType="separate"/>
          </w:r>
          <w:r w:rsidR="00A4238C" w:rsidRPr="00A4238C">
            <w:rPr>
              <w:rFonts w:cs="Times New Roman"/>
              <w:noProof/>
              <w:sz w:val="24"/>
            </w:rPr>
            <w:t>(2010)</w:t>
          </w:r>
          <w:r w:rsidR="003F1500">
            <w:rPr>
              <w:rFonts w:cs="Times New Roman"/>
              <w:sz w:val="24"/>
            </w:rPr>
            <w:fldChar w:fldCharType="end"/>
          </w:r>
        </w:sdtContent>
      </w:sdt>
      <w:r>
        <w:rPr>
          <w:rFonts w:cs="Times New Roman"/>
          <w:sz w:val="24"/>
        </w:rPr>
        <w:t>, un modelo se compone de variables latentes (no pueden observarse directamente)</w:t>
      </w:r>
      <w:r w:rsidR="005A63A9">
        <w:rPr>
          <w:rFonts w:cs="Times New Roman"/>
          <w:sz w:val="24"/>
        </w:rPr>
        <w:t xml:space="preserve">, de ahí la necesidad de </w:t>
      </w:r>
      <w:r w:rsidR="00A60253">
        <w:rPr>
          <w:rFonts w:cs="Times New Roman"/>
          <w:sz w:val="24"/>
        </w:rPr>
        <w:t xml:space="preserve">comprender </w:t>
      </w:r>
      <w:r w:rsidR="00A60253" w:rsidRPr="00A60253">
        <w:rPr>
          <w:rFonts w:cs="Times New Roman"/>
          <w:sz w:val="24"/>
        </w:rPr>
        <w:t>cada uno de los factores con sus</w:t>
      </w:r>
      <w:r w:rsidR="00A60253">
        <w:rPr>
          <w:rFonts w:cs="Times New Roman"/>
          <w:sz w:val="24"/>
        </w:rPr>
        <w:t xml:space="preserve"> respectivas variables medibles (ver tabla 1)</w:t>
      </w:r>
      <w:r w:rsidR="00607152">
        <w:rPr>
          <w:rFonts w:cs="Times New Roman"/>
          <w:sz w:val="24"/>
        </w:rPr>
        <w:t>.</w:t>
      </w:r>
    </w:p>
    <w:p w:rsidR="00542974" w:rsidRDefault="00607152" w:rsidP="00891126">
      <w:pPr>
        <w:pStyle w:val="Descripcin"/>
        <w:spacing w:line="276" w:lineRule="auto"/>
      </w:pPr>
      <w:r>
        <w:t xml:space="preserve">Tabla </w:t>
      </w:r>
      <w:r w:rsidR="00CA344C">
        <w:rPr>
          <w:noProof/>
        </w:rPr>
        <w:fldChar w:fldCharType="begin"/>
      </w:r>
      <w:r w:rsidR="00CA344C">
        <w:rPr>
          <w:noProof/>
        </w:rPr>
        <w:instrText xml:space="preserve"> SEQ Tabla \* ARABIC </w:instrText>
      </w:r>
      <w:r w:rsidR="00CA344C">
        <w:rPr>
          <w:noProof/>
        </w:rPr>
        <w:fldChar w:fldCharType="separate"/>
      </w:r>
      <w:r w:rsidR="00B71B71">
        <w:rPr>
          <w:noProof/>
        </w:rPr>
        <w:t>1</w:t>
      </w:r>
      <w:r w:rsidR="00CA344C">
        <w:rPr>
          <w:noProof/>
        </w:rPr>
        <w:fldChar w:fldCharType="end"/>
      </w:r>
      <w:r>
        <w:t xml:space="preserve">. </w:t>
      </w:r>
    </w:p>
    <w:p w:rsidR="00607152" w:rsidRDefault="00607152" w:rsidP="00891126">
      <w:pPr>
        <w:pStyle w:val="Descripcin"/>
        <w:spacing w:line="276" w:lineRule="auto"/>
      </w:pPr>
      <w:r w:rsidRPr="00542974">
        <w:t>Variables independientes e indicadores</w:t>
      </w:r>
    </w:p>
    <w:p w:rsidR="00542974" w:rsidRPr="00542974" w:rsidRDefault="00542974" w:rsidP="00891126">
      <w:pPr>
        <w:spacing w:line="276" w:lineRule="auto"/>
      </w:pPr>
    </w:p>
    <w:tbl>
      <w:tblPr>
        <w:tblStyle w:val="Tablanormal4"/>
        <w:tblW w:w="5000" w:type="pct"/>
        <w:tblLook w:val="04A0" w:firstRow="1" w:lastRow="0" w:firstColumn="1" w:lastColumn="0" w:noHBand="0" w:noVBand="1"/>
      </w:tblPr>
      <w:tblGrid>
        <w:gridCol w:w="1037"/>
        <w:gridCol w:w="946"/>
        <w:gridCol w:w="1986"/>
      </w:tblGrid>
      <w:tr w:rsidR="00607152" w:rsidRPr="00607152" w:rsidTr="00D471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7" w:type="pct"/>
            <w:vMerge w:val="restart"/>
            <w:vAlign w:val="center"/>
            <w:hideMark/>
          </w:tcPr>
          <w:p w:rsidR="00607152" w:rsidRPr="00607152" w:rsidRDefault="00607152" w:rsidP="00891126">
            <w:pPr>
              <w:spacing w:line="276" w:lineRule="auto"/>
              <w:jc w:val="center"/>
              <w:rPr>
                <w:rFonts w:eastAsia="Times New Roman" w:cs="Times New Roman"/>
                <w:color w:val="000000"/>
                <w:sz w:val="20"/>
                <w:szCs w:val="20"/>
              </w:rPr>
            </w:pPr>
            <w:r w:rsidRPr="00607152">
              <w:rPr>
                <w:rFonts w:eastAsia="Times New Roman" w:cs="Times New Roman"/>
                <w:color w:val="000000"/>
                <w:sz w:val="20"/>
                <w:szCs w:val="20"/>
              </w:rPr>
              <w:t>Variables Independientes</w:t>
            </w:r>
          </w:p>
        </w:tc>
        <w:tc>
          <w:tcPr>
            <w:tcW w:w="1064" w:type="pct"/>
            <w:noWrap/>
            <w:hideMark/>
          </w:tcPr>
          <w:p w:rsidR="00607152" w:rsidRPr="00607152" w:rsidRDefault="00607152" w:rsidP="00891126">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F26BA6">
              <w:rPr>
                <w:rFonts w:eastAsia="Times New Roman" w:cs="Times New Roman"/>
                <w:b w:val="0"/>
                <w:bCs w:val="0"/>
                <w:color w:val="000000"/>
                <w:sz w:val="20"/>
                <w:szCs w:val="20"/>
              </w:rPr>
              <w:t>Dimensión</w:t>
            </w:r>
          </w:p>
        </w:tc>
        <w:tc>
          <w:tcPr>
            <w:tcW w:w="2629" w:type="pct"/>
            <w:noWrap/>
            <w:hideMark/>
          </w:tcPr>
          <w:p w:rsidR="00607152" w:rsidRPr="00607152" w:rsidRDefault="00607152" w:rsidP="00891126">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Categorías</w:t>
            </w:r>
          </w:p>
        </w:tc>
      </w:tr>
      <w:tr w:rsidR="00607152" w:rsidRPr="00607152" w:rsidTr="00D471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val="restart"/>
            <w:noWrap/>
            <w:hideMark/>
          </w:tcPr>
          <w:p w:rsidR="00607152" w:rsidRPr="00607152" w:rsidRDefault="00607152" w:rsidP="00891126">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Psicológica</w:t>
            </w:r>
          </w:p>
        </w:tc>
        <w:tc>
          <w:tcPr>
            <w:tcW w:w="2629" w:type="pct"/>
            <w:noWrap/>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rPr>
            </w:pPr>
            <w:r w:rsidRPr="00607152">
              <w:rPr>
                <w:rFonts w:eastAsia="Times New Roman" w:cs="Times New Roman"/>
                <w:b/>
                <w:bCs/>
                <w:color w:val="000000"/>
                <w:sz w:val="20"/>
                <w:szCs w:val="20"/>
              </w:rPr>
              <w:t>Motivación</w:t>
            </w:r>
          </w:p>
        </w:tc>
      </w:tr>
      <w:tr w:rsidR="00607152" w:rsidRPr="00607152" w:rsidTr="00D471A0">
        <w:trPr>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Metas personales</w:t>
            </w:r>
          </w:p>
        </w:tc>
      </w:tr>
      <w:tr w:rsidR="00607152" w:rsidRPr="00607152" w:rsidTr="00D471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Expectativas de éxito</w:t>
            </w:r>
          </w:p>
        </w:tc>
      </w:tr>
      <w:tr w:rsidR="00607152" w:rsidRPr="00607152" w:rsidTr="00D471A0">
        <w:trPr>
          <w:trHeight w:val="300"/>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rPr>
            </w:pPr>
            <w:r w:rsidRPr="00607152">
              <w:rPr>
                <w:rFonts w:eastAsia="Times New Roman" w:cs="Times New Roman"/>
                <w:b/>
                <w:bCs/>
                <w:color w:val="000000"/>
                <w:sz w:val="20"/>
                <w:szCs w:val="20"/>
              </w:rPr>
              <w:t>Actitud</w:t>
            </w:r>
          </w:p>
        </w:tc>
      </w:tr>
      <w:tr w:rsidR="00607152" w:rsidRPr="00607152" w:rsidTr="00D471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Auto</w:t>
            </w:r>
            <w:r w:rsidRPr="00F26BA6">
              <w:rPr>
                <w:rFonts w:eastAsia="Times New Roman" w:cs="Times New Roman"/>
                <w:color w:val="000000"/>
                <w:sz w:val="20"/>
                <w:szCs w:val="20"/>
              </w:rPr>
              <w:t xml:space="preserve"> </w:t>
            </w:r>
            <w:r w:rsidRPr="00607152">
              <w:rPr>
                <w:rFonts w:eastAsia="Times New Roman" w:cs="Times New Roman"/>
                <w:color w:val="000000"/>
                <w:sz w:val="20"/>
                <w:szCs w:val="20"/>
              </w:rPr>
              <w:t>concepto</w:t>
            </w:r>
          </w:p>
        </w:tc>
      </w:tr>
      <w:tr w:rsidR="00607152" w:rsidRPr="00607152" w:rsidTr="00D471A0">
        <w:trPr>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val="restart"/>
            <w:noWrap/>
            <w:hideMark/>
          </w:tcPr>
          <w:p w:rsidR="00607152" w:rsidRPr="00607152" w:rsidRDefault="00607152" w:rsidP="00891126">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Pedagógicas</w:t>
            </w:r>
          </w:p>
        </w:tc>
        <w:tc>
          <w:tcPr>
            <w:tcW w:w="2629" w:type="pct"/>
            <w:noWrap/>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Rol del profesor</w:t>
            </w:r>
          </w:p>
        </w:tc>
      </w:tr>
      <w:tr w:rsidR="00607152" w:rsidRPr="00607152" w:rsidTr="00D471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Metodología de enseñanza</w:t>
            </w:r>
          </w:p>
        </w:tc>
      </w:tr>
      <w:tr w:rsidR="00607152" w:rsidRPr="00607152" w:rsidTr="00D471A0">
        <w:trPr>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val="restart"/>
            <w:noWrap/>
            <w:hideMark/>
          </w:tcPr>
          <w:p w:rsidR="00607152" w:rsidRPr="00607152" w:rsidRDefault="00607152" w:rsidP="00891126">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Institucional</w:t>
            </w:r>
          </w:p>
        </w:tc>
        <w:tc>
          <w:tcPr>
            <w:tcW w:w="2629" w:type="pct"/>
            <w:noWrap/>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Calidad de la carrera</w:t>
            </w:r>
          </w:p>
        </w:tc>
      </w:tr>
      <w:tr w:rsidR="00607152" w:rsidRPr="00607152" w:rsidTr="00D471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Servicios</w:t>
            </w:r>
          </w:p>
        </w:tc>
      </w:tr>
      <w:tr w:rsidR="00607152" w:rsidRPr="00607152" w:rsidTr="00D471A0">
        <w:trPr>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Sentido de pertenencia</w:t>
            </w:r>
          </w:p>
        </w:tc>
      </w:tr>
      <w:tr w:rsidR="00607152" w:rsidRPr="00607152" w:rsidTr="00D471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Relación con autoridades escolares</w:t>
            </w:r>
          </w:p>
        </w:tc>
      </w:tr>
      <w:tr w:rsidR="00607152" w:rsidRPr="00607152" w:rsidTr="00D471A0">
        <w:trPr>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Relación con pares</w:t>
            </w:r>
          </w:p>
        </w:tc>
      </w:tr>
      <w:tr w:rsidR="00607152" w:rsidRPr="00607152" w:rsidTr="00D471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val="restart"/>
            <w:noWrap/>
            <w:hideMark/>
          </w:tcPr>
          <w:p w:rsidR="00607152" w:rsidRPr="00607152" w:rsidRDefault="00607152" w:rsidP="00891126">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Socio-familiar</w:t>
            </w:r>
          </w:p>
        </w:tc>
        <w:tc>
          <w:tcPr>
            <w:tcW w:w="2629" w:type="pct"/>
            <w:noWrap/>
            <w:hideMark/>
          </w:tcPr>
          <w:p w:rsidR="00607152" w:rsidRPr="00607152" w:rsidRDefault="00607152" w:rsidP="0089112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Interacción social y familiar</w:t>
            </w:r>
          </w:p>
        </w:tc>
      </w:tr>
      <w:tr w:rsidR="00607152" w:rsidRPr="00607152" w:rsidTr="00D471A0">
        <w:trPr>
          <w:trHeight w:val="285"/>
        </w:trPr>
        <w:tc>
          <w:tcPr>
            <w:cnfStyle w:val="001000000000" w:firstRow="0" w:lastRow="0" w:firstColumn="1" w:lastColumn="0" w:oddVBand="0" w:evenVBand="0" w:oddHBand="0" w:evenHBand="0" w:firstRowFirstColumn="0" w:firstRowLastColumn="0" w:lastRowFirstColumn="0" w:lastRowLastColumn="0"/>
            <w:tcW w:w="1307" w:type="pct"/>
            <w:vMerge/>
            <w:hideMark/>
          </w:tcPr>
          <w:p w:rsidR="00607152" w:rsidRPr="00607152" w:rsidRDefault="00607152" w:rsidP="00891126">
            <w:pPr>
              <w:spacing w:line="276" w:lineRule="auto"/>
              <w:rPr>
                <w:rFonts w:eastAsia="Times New Roman" w:cs="Times New Roman"/>
                <w:color w:val="000000"/>
                <w:sz w:val="20"/>
                <w:szCs w:val="20"/>
              </w:rPr>
            </w:pPr>
          </w:p>
        </w:tc>
        <w:tc>
          <w:tcPr>
            <w:tcW w:w="1064" w:type="pct"/>
            <w:vMerge/>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tcW w:w="2629" w:type="pct"/>
            <w:noWrap/>
            <w:hideMark/>
          </w:tcPr>
          <w:p w:rsidR="00607152" w:rsidRPr="00607152" w:rsidRDefault="00607152" w:rsidP="0089112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607152">
              <w:rPr>
                <w:rFonts w:eastAsia="Times New Roman" w:cs="Times New Roman"/>
                <w:color w:val="000000"/>
                <w:sz w:val="20"/>
                <w:szCs w:val="20"/>
              </w:rPr>
              <w:t>Condiciones económicas</w:t>
            </w:r>
          </w:p>
        </w:tc>
      </w:tr>
      <w:tr w:rsidR="00607152" w:rsidRPr="00F26BA6" w:rsidTr="00D471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0" w:type="pct"/>
            <w:gridSpan w:val="3"/>
          </w:tcPr>
          <w:p w:rsidR="00607152" w:rsidRPr="00F26BA6" w:rsidRDefault="00607152" w:rsidP="00891126">
            <w:pPr>
              <w:spacing w:line="276" w:lineRule="auto"/>
              <w:rPr>
                <w:rFonts w:eastAsia="Times New Roman" w:cs="Times New Roman"/>
                <w:b w:val="0"/>
                <w:color w:val="000000"/>
                <w:sz w:val="20"/>
                <w:szCs w:val="20"/>
              </w:rPr>
            </w:pPr>
            <w:r w:rsidRPr="00F26BA6">
              <w:rPr>
                <w:rFonts w:eastAsia="Times New Roman" w:cs="Times New Roman"/>
                <w:color w:val="000000"/>
                <w:sz w:val="20"/>
                <w:szCs w:val="20"/>
              </w:rPr>
              <w:t xml:space="preserve">Fuente: </w:t>
            </w:r>
            <w:r w:rsidRPr="00F26BA6">
              <w:rPr>
                <w:rFonts w:eastAsia="Times New Roman" w:cs="Times New Roman"/>
                <w:b w:val="0"/>
                <w:color w:val="000000"/>
                <w:sz w:val="20"/>
                <w:szCs w:val="20"/>
              </w:rPr>
              <w:t xml:space="preserve">Adaptación de </w:t>
            </w:r>
            <w:sdt>
              <w:sdtPr>
                <w:rPr>
                  <w:rFonts w:eastAsia="Times New Roman" w:cs="Times New Roman"/>
                  <w:color w:val="000000"/>
                  <w:sz w:val="20"/>
                  <w:szCs w:val="20"/>
                </w:rPr>
                <w:id w:val="1699283205"/>
                <w:citation/>
              </w:sdtPr>
              <w:sdtContent>
                <w:r w:rsidRPr="00F26BA6">
                  <w:rPr>
                    <w:rFonts w:eastAsia="Times New Roman" w:cs="Times New Roman"/>
                    <w:color w:val="000000"/>
                    <w:sz w:val="20"/>
                    <w:szCs w:val="20"/>
                  </w:rPr>
                  <w:fldChar w:fldCharType="begin"/>
                </w:r>
                <w:r w:rsidRPr="00F26BA6">
                  <w:rPr>
                    <w:rFonts w:eastAsia="Times New Roman" w:cs="Times New Roman"/>
                    <w:b w:val="0"/>
                    <w:color w:val="000000"/>
                    <w:sz w:val="20"/>
                    <w:szCs w:val="20"/>
                  </w:rPr>
                  <w:instrText xml:space="preserve"> CITATION Aya18 \l 12298 </w:instrText>
                </w:r>
                <w:r w:rsidRPr="00F26BA6">
                  <w:rPr>
                    <w:rFonts w:eastAsia="Times New Roman" w:cs="Times New Roman"/>
                    <w:color w:val="000000"/>
                    <w:sz w:val="20"/>
                    <w:szCs w:val="20"/>
                  </w:rPr>
                  <w:fldChar w:fldCharType="separate"/>
                </w:r>
                <w:r w:rsidR="00A4238C" w:rsidRPr="00A4238C">
                  <w:rPr>
                    <w:rFonts w:eastAsia="Times New Roman" w:cs="Times New Roman"/>
                    <w:noProof/>
                    <w:color w:val="000000"/>
                    <w:sz w:val="20"/>
                    <w:szCs w:val="20"/>
                  </w:rPr>
                  <w:t>(Ayala &amp; Atencio, 2018)</w:t>
                </w:r>
                <w:r w:rsidRPr="00F26BA6">
                  <w:rPr>
                    <w:rFonts w:eastAsia="Times New Roman" w:cs="Times New Roman"/>
                    <w:color w:val="000000"/>
                    <w:sz w:val="20"/>
                    <w:szCs w:val="20"/>
                  </w:rPr>
                  <w:fldChar w:fldCharType="end"/>
                </w:r>
              </w:sdtContent>
            </w:sdt>
            <w:sdt>
              <w:sdtPr>
                <w:rPr>
                  <w:rFonts w:eastAsia="Times New Roman" w:cs="Times New Roman"/>
                  <w:color w:val="000000"/>
                  <w:sz w:val="20"/>
                  <w:szCs w:val="20"/>
                </w:rPr>
                <w:id w:val="549964163"/>
                <w:citation/>
              </w:sdtPr>
              <w:sdtContent>
                <w:r w:rsidRPr="00F26BA6">
                  <w:rPr>
                    <w:rFonts w:eastAsia="Times New Roman" w:cs="Times New Roman"/>
                    <w:color w:val="000000"/>
                    <w:sz w:val="20"/>
                    <w:szCs w:val="20"/>
                  </w:rPr>
                  <w:fldChar w:fldCharType="begin"/>
                </w:r>
                <w:r w:rsidRPr="00F26BA6">
                  <w:rPr>
                    <w:rFonts w:eastAsia="Times New Roman" w:cs="Times New Roman"/>
                    <w:b w:val="0"/>
                    <w:color w:val="000000"/>
                    <w:sz w:val="20"/>
                    <w:szCs w:val="20"/>
                  </w:rPr>
                  <w:instrText xml:space="preserve"> CITATION Gar07 \l 12298 </w:instrText>
                </w:r>
                <w:r w:rsidRPr="00F26BA6">
                  <w:rPr>
                    <w:rFonts w:eastAsia="Times New Roman" w:cs="Times New Roman"/>
                    <w:color w:val="000000"/>
                    <w:sz w:val="20"/>
                    <w:szCs w:val="20"/>
                  </w:rPr>
                  <w:fldChar w:fldCharType="separate"/>
                </w:r>
                <w:r w:rsidR="00A4238C">
                  <w:rPr>
                    <w:rFonts w:eastAsia="Times New Roman" w:cs="Times New Roman"/>
                    <w:b w:val="0"/>
                    <w:noProof/>
                    <w:color w:val="000000"/>
                    <w:sz w:val="20"/>
                    <w:szCs w:val="20"/>
                  </w:rPr>
                  <w:t xml:space="preserve"> </w:t>
                </w:r>
                <w:r w:rsidR="00A4238C" w:rsidRPr="00A4238C">
                  <w:rPr>
                    <w:rFonts w:eastAsia="Times New Roman" w:cs="Times New Roman"/>
                    <w:noProof/>
                    <w:color w:val="000000"/>
                    <w:sz w:val="20"/>
                    <w:szCs w:val="20"/>
                  </w:rPr>
                  <w:t>(Garbanzo Vargas, 2007)</w:t>
                </w:r>
                <w:r w:rsidRPr="00F26BA6">
                  <w:rPr>
                    <w:rFonts w:eastAsia="Times New Roman" w:cs="Times New Roman"/>
                    <w:color w:val="000000"/>
                    <w:sz w:val="20"/>
                    <w:szCs w:val="20"/>
                  </w:rPr>
                  <w:fldChar w:fldCharType="end"/>
                </w:r>
              </w:sdtContent>
            </w:sdt>
            <w:sdt>
              <w:sdtPr>
                <w:rPr>
                  <w:rFonts w:eastAsia="Times New Roman" w:cs="Times New Roman"/>
                  <w:color w:val="000000"/>
                  <w:sz w:val="20"/>
                  <w:szCs w:val="20"/>
                </w:rPr>
                <w:id w:val="-1740863283"/>
                <w:citation/>
              </w:sdtPr>
              <w:sdtContent>
                <w:r w:rsidRPr="00F26BA6">
                  <w:rPr>
                    <w:rFonts w:eastAsia="Times New Roman" w:cs="Times New Roman"/>
                    <w:color w:val="000000"/>
                    <w:sz w:val="20"/>
                    <w:szCs w:val="20"/>
                  </w:rPr>
                  <w:fldChar w:fldCharType="begin"/>
                </w:r>
                <w:r w:rsidRPr="00F26BA6">
                  <w:rPr>
                    <w:rFonts w:eastAsia="Times New Roman" w:cs="Times New Roman"/>
                    <w:b w:val="0"/>
                    <w:color w:val="000000"/>
                    <w:sz w:val="20"/>
                    <w:szCs w:val="20"/>
                  </w:rPr>
                  <w:instrText xml:space="preserve"> CITATION Tej07 \l 12298 </w:instrText>
                </w:r>
                <w:r w:rsidRPr="00F26BA6">
                  <w:rPr>
                    <w:rFonts w:eastAsia="Times New Roman" w:cs="Times New Roman"/>
                    <w:color w:val="000000"/>
                    <w:sz w:val="20"/>
                    <w:szCs w:val="20"/>
                  </w:rPr>
                  <w:fldChar w:fldCharType="separate"/>
                </w:r>
                <w:r w:rsidR="00A4238C">
                  <w:rPr>
                    <w:rFonts w:eastAsia="Times New Roman" w:cs="Times New Roman"/>
                    <w:b w:val="0"/>
                    <w:noProof/>
                    <w:color w:val="000000"/>
                    <w:sz w:val="20"/>
                    <w:szCs w:val="20"/>
                  </w:rPr>
                  <w:t xml:space="preserve"> </w:t>
                </w:r>
                <w:r w:rsidR="00A4238C" w:rsidRPr="00A4238C">
                  <w:rPr>
                    <w:rFonts w:eastAsia="Times New Roman" w:cs="Times New Roman"/>
                    <w:noProof/>
                    <w:color w:val="000000"/>
                    <w:sz w:val="20"/>
                    <w:szCs w:val="20"/>
                  </w:rPr>
                  <w:t>(Tejedor &amp; García-Valcárcel, 2007)</w:t>
                </w:r>
                <w:r w:rsidRPr="00F26BA6">
                  <w:rPr>
                    <w:rFonts w:eastAsia="Times New Roman" w:cs="Times New Roman"/>
                    <w:color w:val="000000"/>
                    <w:sz w:val="20"/>
                    <w:szCs w:val="20"/>
                  </w:rPr>
                  <w:fldChar w:fldCharType="end"/>
                </w:r>
              </w:sdtContent>
            </w:sdt>
          </w:p>
          <w:p w:rsidR="00607152" w:rsidRPr="00F26BA6" w:rsidRDefault="00607152" w:rsidP="00891126">
            <w:pPr>
              <w:spacing w:line="276" w:lineRule="auto"/>
              <w:rPr>
                <w:rFonts w:eastAsia="Times New Roman" w:cs="Times New Roman"/>
                <w:color w:val="000000"/>
                <w:sz w:val="20"/>
                <w:szCs w:val="20"/>
              </w:rPr>
            </w:pPr>
            <w:r w:rsidRPr="00F26BA6">
              <w:rPr>
                <w:rFonts w:eastAsia="Times New Roman" w:cs="Times New Roman"/>
                <w:color w:val="000000"/>
                <w:sz w:val="20"/>
                <w:szCs w:val="20"/>
              </w:rPr>
              <w:t>Elaboración propia.</w:t>
            </w:r>
          </w:p>
        </w:tc>
      </w:tr>
    </w:tbl>
    <w:p w:rsidR="008D17E7" w:rsidRDefault="00EA2D76" w:rsidP="00891126">
      <w:pPr>
        <w:spacing w:before="240" w:line="276" w:lineRule="auto"/>
        <w:jc w:val="both"/>
        <w:rPr>
          <w:rFonts w:cs="Times New Roman"/>
          <w:sz w:val="24"/>
        </w:rPr>
      </w:pPr>
      <w:r>
        <w:rPr>
          <w:rFonts w:cs="Times New Roman"/>
          <w:sz w:val="24"/>
        </w:rPr>
        <w:t xml:space="preserve">Para validar empíricamente el modelo teórico conceptual acerca del rendimiento académico de los estudiantes de la carrera </w:t>
      </w:r>
      <w:r>
        <w:rPr>
          <w:rFonts w:cs="Times New Roman"/>
          <w:sz w:val="24"/>
        </w:rPr>
        <w:lastRenderedPageBreak/>
        <w:t xml:space="preserve">de Administración de Empresas de la UPEC, se adaptó el instrumento </w:t>
      </w:r>
      <w:r w:rsidR="00DD7131">
        <w:rPr>
          <w:rFonts w:cs="Times New Roman"/>
          <w:sz w:val="24"/>
        </w:rPr>
        <w:t xml:space="preserve">desarrollado por </w:t>
      </w:r>
      <w:r w:rsidR="00DD7131" w:rsidRPr="00DD7131">
        <w:rPr>
          <w:rFonts w:cs="Times New Roman"/>
          <w:sz w:val="24"/>
        </w:rPr>
        <w:t>Velázquez Narváez, Medina, &amp; Mario</w:t>
      </w:r>
      <w:r w:rsidR="00DD7131">
        <w:rPr>
          <w:rFonts w:cs="Times New Roman"/>
          <w:sz w:val="24"/>
        </w:rPr>
        <w:t xml:space="preserve"> </w:t>
      </w:r>
      <w:sdt>
        <w:sdtPr>
          <w:rPr>
            <w:rFonts w:cs="Times New Roman"/>
            <w:sz w:val="24"/>
          </w:rPr>
          <w:id w:val="1603062556"/>
          <w:citation/>
        </w:sdtPr>
        <w:sdtContent>
          <w:r w:rsidR="00DD7131">
            <w:rPr>
              <w:rFonts w:cs="Times New Roman"/>
              <w:sz w:val="24"/>
            </w:rPr>
            <w:fldChar w:fldCharType="begin"/>
          </w:r>
          <w:r w:rsidR="00DD7131">
            <w:rPr>
              <w:rFonts w:cs="Times New Roman"/>
              <w:sz w:val="24"/>
            </w:rPr>
            <w:instrText xml:space="preserve">CITATION Vél17 \n  \t  \l 12298 </w:instrText>
          </w:r>
          <w:r w:rsidR="00DD7131">
            <w:rPr>
              <w:rFonts w:cs="Times New Roman"/>
              <w:sz w:val="24"/>
            </w:rPr>
            <w:fldChar w:fldCharType="separate"/>
          </w:r>
          <w:r w:rsidR="00A4238C" w:rsidRPr="00A4238C">
            <w:rPr>
              <w:rFonts w:cs="Times New Roman"/>
              <w:noProof/>
              <w:sz w:val="24"/>
            </w:rPr>
            <w:t>(2017)</w:t>
          </w:r>
          <w:r w:rsidR="00DD7131">
            <w:rPr>
              <w:rFonts w:cs="Times New Roman"/>
              <w:sz w:val="24"/>
            </w:rPr>
            <w:fldChar w:fldCharType="end"/>
          </w:r>
        </w:sdtContent>
      </w:sdt>
      <w:r w:rsidR="00D25524">
        <w:rPr>
          <w:rFonts w:cs="Times New Roman"/>
          <w:sz w:val="24"/>
        </w:rPr>
        <w:t xml:space="preserve">, dando un total </w:t>
      </w:r>
      <w:r w:rsidR="003007F1">
        <w:rPr>
          <w:rFonts w:cs="Times New Roman"/>
          <w:sz w:val="24"/>
        </w:rPr>
        <w:t>de 55</w:t>
      </w:r>
      <w:r w:rsidR="00D25524">
        <w:rPr>
          <w:rFonts w:cs="Times New Roman"/>
          <w:sz w:val="24"/>
        </w:rPr>
        <w:t xml:space="preserve"> ítems</w:t>
      </w:r>
      <w:r w:rsidR="003007F1">
        <w:rPr>
          <w:rFonts w:cs="Times New Roman"/>
          <w:sz w:val="24"/>
        </w:rPr>
        <w:t xml:space="preserve">, </w:t>
      </w:r>
      <w:r w:rsidR="00EF3F7D">
        <w:rPr>
          <w:rFonts w:cs="Times New Roman"/>
          <w:sz w:val="24"/>
        </w:rPr>
        <w:t xml:space="preserve"> </w:t>
      </w:r>
      <w:r w:rsidR="0049650E">
        <w:rPr>
          <w:rFonts w:cs="Times New Roman"/>
          <w:sz w:val="24"/>
        </w:rPr>
        <w:t xml:space="preserve">45 </w:t>
      </w:r>
      <w:r w:rsidR="00EF3F7D">
        <w:rPr>
          <w:rFonts w:cs="Times New Roman"/>
          <w:sz w:val="24"/>
        </w:rPr>
        <w:t>para</w:t>
      </w:r>
      <w:r w:rsidR="003007F1">
        <w:rPr>
          <w:rFonts w:cs="Times New Roman"/>
          <w:sz w:val="24"/>
        </w:rPr>
        <w:t xml:space="preserve"> las variables independientes y diez </w:t>
      </w:r>
      <w:r w:rsidR="00EF3F7D">
        <w:rPr>
          <w:rFonts w:cs="Times New Roman"/>
          <w:sz w:val="24"/>
        </w:rPr>
        <w:t>ítems para la variable dependiente</w:t>
      </w:r>
      <w:r w:rsidR="00FE3DB0">
        <w:rPr>
          <w:rFonts w:cs="Times New Roman"/>
          <w:sz w:val="24"/>
        </w:rPr>
        <w:t>. Las opciones de respuesta correspondían a la escala Likert bajo la siguiente codificación 1 = totalmente en desacuerdo, 2 = en desacuerdo, 3 = indiferente, 4= de acuerdo y 5 = Totalmente de acuerdo.</w:t>
      </w:r>
    </w:p>
    <w:p w:rsidR="00607152" w:rsidRDefault="008D17E7" w:rsidP="00891126">
      <w:pPr>
        <w:spacing w:before="240" w:line="276" w:lineRule="auto"/>
        <w:jc w:val="both"/>
        <w:rPr>
          <w:rFonts w:cs="Times New Roman"/>
          <w:sz w:val="24"/>
        </w:rPr>
      </w:pPr>
      <w:r>
        <w:rPr>
          <w:rFonts w:cs="Times New Roman"/>
          <w:sz w:val="24"/>
        </w:rPr>
        <w:t>La prueba piloto, aplicada a 30 participantes que no inter</w:t>
      </w:r>
      <w:r w:rsidR="00292BA7">
        <w:rPr>
          <w:rFonts w:cs="Times New Roman"/>
          <w:sz w:val="24"/>
        </w:rPr>
        <w:t>vinieron en la muestra, confirmó</w:t>
      </w:r>
      <w:r>
        <w:rPr>
          <w:rFonts w:cs="Times New Roman"/>
          <w:sz w:val="24"/>
        </w:rPr>
        <w:t xml:space="preserve"> la fiabilidad del instrumento, el coeficiente de alfa de </w:t>
      </w:r>
      <w:proofErr w:type="spellStart"/>
      <w:r>
        <w:rPr>
          <w:rFonts w:cs="Times New Roman"/>
          <w:sz w:val="24"/>
        </w:rPr>
        <w:t>Cronbach</w:t>
      </w:r>
      <w:proofErr w:type="spellEnd"/>
      <w:r w:rsidR="00022A03">
        <w:rPr>
          <w:rFonts w:cs="Times New Roman"/>
          <w:sz w:val="24"/>
        </w:rPr>
        <w:t xml:space="preserve"> fue de 0,905</w:t>
      </w:r>
      <w:r>
        <w:rPr>
          <w:rFonts w:cs="Times New Roman"/>
          <w:sz w:val="24"/>
        </w:rPr>
        <w:t>. Para</w:t>
      </w:r>
      <w:r w:rsidR="00202BFB">
        <w:rPr>
          <w:rFonts w:cs="Times New Roman"/>
          <w:sz w:val="24"/>
        </w:rPr>
        <w:t xml:space="preserve"> comenzar a validar el modelo teórico, después de la revisión</w:t>
      </w:r>
      <w:r w:rsidR="002763CA">
        <w:rPr>
          <w:rFonts w:cs="Times New Roman"/>
          <w:sz w:val="24"/>
        </w:rPr>
        <w:t xml:space="preserve"> de literatura, fue necesario c</w:t>
      </w:r>
      <w:r w:rsidR="00E7755B">
        <w:rPr>
          <w:rFonts w:cs="Times New Roman"/>
          <w:sz w:val="24"/>
        </w:rPr>
        <w:t>omprender el análisis factorial</w:t>
      </w:r>
      <w:r w:rsidR="00852562">
        <w:rPr>
          <w:rFonts w:cs="Times New Roman"/>
          <w:sz w:val="24"/>
        </w:rPr>
        <w:t>, el cual puede realizarse siempre que el coeficiente KMO</w:t>
      </w:r>
      <w:r w:rsidR="0024391C">
        <w:rPr>
          <w:rFonts w:cs="Times New Roman"/>
          <w:sz w:val="24"/>
        </w:rPr>
        <w:t xml:space="preserve"> sea</w:t>
      </w:r>
      <w:r w:rsidR="00DF417A">
        <w:rPr>
          <w:rFonts w:cs="Times New Roman"/>
          <w:sz w:val="24"/>
        </w:rPr>
        <w:t xml:space="preserve"> mayor a 0,500 </w:t>
      </w:r>
      <w:sdt>
        <w:sdtPr>
          <w:rPr>
            <w:rFonts w:cs="Times New Roman"/>
            <w:sz w:val="24"/>
          </w:rPr>
          <w:id w:val="685022198"/>
          <w:citation/>
        </w:sdtPr>
        <w:sdtContent>
          <w:r w:rsidR="00DF417A">
            <w:rPr>
              <w:rFonts w:cs="Times New Roman"/>
              <w:sz w:val="24"/>
            </w:rPr>
            <w:fldChar w:fldCharType="begin"/>
          </w:r>
          <w:r w:rsidR="00DF417A">
            <w:rPr>
              <w:rFonts w:cs="Times New Roman"/>
              <w:sz w:val="24"/>
            </w:rPr>
            <w:instrText xml:space="preserve"> CITATION Her18 \l 12298 </w:instrText>
          </w:r>
          <w:r w:rsidR="00DF417A">
            <w:rPr>
              <w:rFonts w:cs="Times New Roman"/>
              <w:sz w:val="24"/>
            </w:rPr>
            <w:fldChar w:fldCharType="separate"/>
          </w:r>
          <w:r w:rsidR="00A4238C" w:rsidRPr="00A4238C">
            <w:rPr>
              <w:rFonts w:cs="Times New Roman"/>
              <w:noProof/>
              <w:sz w:val="24"/>
            </w:rPr>
            <w:t>(Herrera &amp; De Jesús Rahmer, 2018)</w:t>
          </w:r>
          <w:r w:rsidR="00DF417A">
            <w:rPr>
              <w:rFonts w:cs="Times New Roman"/>
              <w:sz w:val="24"/>
            </w:rPr>
            <w:fldChar w:fldCharType="end"/>
          </w:r>
        </w:sdtContent>
      </w:sdt>
      <w:r w:rsidR="00DF417A">
        <w:rPr>
          <w:rFonts w:cs="Times New Roman"/>
          <w:sz w:val="24"/>
        </w:rPr>
        <w:t>, en este caso el resultado fue de 0,719.</w:t>
      </w:r>
    </w:p>
    <w:p w:rsidR="0053448B" w:rsidRDefault="00A7266F" w:rsidP="00891126">
      <w:pPr>
        <w:spacing w:before="240" w:line="276" w:lineRule="auto"/>
        <w:jc w:val="both"/>
        <w:rPr>
          <w:rFonts w:cs="Times New Roman"/>
          <w:sz w:val="24"/>
        </w:rPr>
      </w:pPr>
      <w:r>
        <w:rPr>
          <w:rFonts w:cs="Times New Roman"/>
          <w:sz w:val="24"/>
        </w:rPr>
        <w:t>El software estadístico utilizado fue XSL</w:t>
      </w:r>
      <w:r w:rsidR="009F5518">
        <w:rPr>
          <w:rFonts w:cs="Times New Roman"/>
          <w:sz w:val="24"/>
        </w:rPr>
        <w:t xml:space="preserve">STAT, complemento de Excel mediante la aproximación a ecuaciones estructurales </w:t>
      </w:r>
      <w:r w:rsidR="0053448B">
        <w:rPr>
          <w:rFonts w:cs="Times New Roman"/>
          <w:sz w:val="24"/>
        </w:rPr>
        <w:t xml:space="preserve">denominado </w:t>
      </w:r>
      <w:r w:rsidR="009F5518">
        <w:rPr>
          <w:rFonts w:cs="Times New Roman"/>
          <w:sz w:val="24"/>
        </w:rPr>
        <w:t>PSL</w:t>
      </w:r>
      <w:r w:rsidR="0053448B">
        <w:rPr>
          <w:rFonts w:cs="Times New Roman"/>
          <w:sz w:val="24"/>
        </w:rPr>
        <w:t xml:space="preserve">-PM, </w:t>
      </w:r>
    </w:p>
    <w:p w:rsidR="00A7266F" w:rsidRDefault="0053448B" w:rsidP="00891126">
      <w:pPr>
        <w:spacing w:before="240" w:line="276" w:lineRule="auto"/>
        <w:ind w:left="708"/>
        <w:jc w:val="both"/>
        <w:rPr>
          <w:rFonts w:cs="Times New Roman"/>
          <w:sz w:val="24"/>
        </w:rPr>
      </w:pPr>
      <w:r>
        <w:rPr>
          <w:rFonts w:cs="Times New Roman"/>
          <w:sz w:val="24"/>
        </w:rPr>
        <w:t>“</w:t>
      </w:r>
      <w:r w:rsidRPr="0053448B">
        <w:rPr>
          <w:rFonts w:cs="Times New Roman"/>
          <w:sz w:val="24"/>
        </w:rPr>
        <w:t>El modelado con mínimos cuadrados parciales (</w:t>
      </w:r>
      <w:proofErr w:type="spellStart"/>
      <w:r w:rsidRPr="0053448B">
        <w:rPr>
          <w:rFonts w:cs="Times New Roman"/>
          <w:sz w:val="24"/>
        </w:rPr>
        <w:t>Partial</w:t>
      </w:r>
      <w:proofErr w:type="spellEnd"/>
      <w:r w:rsidRPr="0053448B">
        <w:rPr>
          <w:rFonts w:cs="Times New Roman"/>
          <w:sz w:val="24"/>
        </w:rPr>
        <w:t xml:space="preserve"> </w:t>
      </w:r>
      <w:proofErr w:type="spellStart"/>
      <w:r w:rsidRPr="0053448B">
        <w:rPr>
          <w:rFonts w:cs="Times New Roman"/>
          <w:sz w:val="24"/>
        </w:rPr>
        <w:t>Least</w:t>
      </w:r>
      <w:proofErr w:type="spellEnd"/>
      <w:r w:rsidRPr="0053448B">
        <w:rPr>
          <w:rFonts w:cs="Times New Roman"/>
          <w:sz w:val="24"/>
        </w:rPr>
        <w:t xml:space="preserve"> </w:t>
      </w:r>
      <w:proofErr w:type="spellStart"/>
      <w:r w:rsidRPr="0053448B">
        <w:rPr>
          <w:rFonts w:cs="Times New Roman"/>
          <w:sz w:val="24"/>
        </w:rPr>
        <w:t>Squares</w:t>
      </w:r>
      <w:proofErr w:type="spellEnd"/>
      <w:r w:rsidRPr="0053448B">
        <w:rPr>
          <w:rFonts w:cs="Times New Roman"/>
          <w:sz w:val="24"/>
        </w:rPr>
        <w:t xml:space="preserve"> </w:t>
      </w:r>
      <w:proofErr w:type="spellStart"/>
      <w:r w:rsidRPr="0053448B">
        <w:rPr>
          <w:rFonts w:cs="Times New Roman"/>
          <w:sz w:val="24"/>
        </w:rPr>
        <w:t>Path</w:t>
      </w:r>
      <w:proofErr w:type="spellEnd"/>
      <w:r w:rsidRPr="0053448B">
        <w:rPr>
          <w:rFonts w:cs="Times New Roman"/>
          <w:sz w:val="24"/>
        </w:rPr>
        <w:t xml:space="preserve"> </w:t>
      </w:r>
      <w:proofErr w:type="spellStart"/>
      <w:r w:rsidRPr="0053448B">
        <w:rPr>
          <w:rFonts w:cs="Times New Roman"/>
          <w:sz w:val="24"/>
        </w:rPr>
        <w:t>Modeling</w:t>
      </w:r>
      <w:proofErr w:type="spellEnd"/>
      <w:r w:rsidRPr="0053448B">
        <w:rPr>
          <w:rFonts w:cs="Times New Roman"/>
          <w:sz w:val="24"/>
        </w:rPr>
        <w:t xml:space="preserve">, PLS-PM) es una aproximación estadística al modelado de relaciones </w:t>
      </w:r>
      <w:proofErr w:type="spellStart"/>
      <w:r w:rsidRPr="0053448B">
        <w:rPr>
          <w:rFonts w:cs="Times New Roman"/>
          <w:sz w:val="24"/>
        </w:rPr>
        <w:t>multivariables</w:t>
      </w:r>
      <w:proofErr w:type="spellEnd"/>
      <w:r w:rsidRPr="0053448B">
        <w:rPr>
          <w:rFonts w:cs="Times New Roman"/>
          <w:sz w:val="24"/>
        </w:rPr>
        <w:t xml:space="preserve"> complejas (modelos de ecuaciones estructurales) entre variables observadas y latentes. Desde hace algunos años, esta aproximación </w:t>
      </w:r>
      <w:r w:rsidRPr="0053448B">
        <w:rPr>
          <w:rFonts w:cs="Times New Roman"/>
          <w:sz w:val="24"/>
        </w:rPr>
        <w:t>ha gozado de una progresiva popularidad en varias ciencias</w:t>
      </w:r>
      <w:r>
        <w:rPr>
          <w:rFonts w:cs="Times New Roman"/>
          <w:sz w:val="24"/>
        </w:rPr>
        <w:t>”</w:t>
      </w:r>
      <w:r w:rsidRPr="0053448B">
        <w:rPr>
          <w:rFonts w:cs="Times New Roman"/>
          <w:sz w:val="24"/>
        </w:rPr>
        <w:t xml:space="preserve"> (Esposito </w:t>
      </w:r>
      <w:proofErr w:type="spellStart"/>
      <w:r w:rsidRPr="0053448B">
        <w:rPr>
          <w:rFonts w:cs="Times New Roman"/>
          <w:sz w:val="24"/>
        </w:rPr>
        <w:t>Vinzi</w:t>
      </w:r>
      <w:proofErr w:type="spellEnd"/>
      <w:r w:rsidRPr="0053448B">
        <w:rPr>
          <w:rFonts w:cs="Times New Roman"/>
          <w:sz w:val="24"/>
        </w:rPr>
        <w:t xml:space="preserve"> et al., 2007</w:t>
      </w:r>
      <w:r>
        <w:rPr>
          <w:rFonts w:cs="Times New Roman"/>
          <w:sz w:val="24"/>
        </w:rPr>
        <w:t xml:space="preserve"> citado por </w:t>
      </w:r>
      <w:sdt>
        <w:sdtPr>
          <w:rPr>
            <w:rFonts w:cs="Times New Roman"/>
            <w:sz w:val="24"/>
          </w:rPr>
          <w:id w:val="1956449569"/>
          <w:citation/>
        </w:sdtPr>
        <w:sdtContent>
          <w:r>
            <w:rPr>
              <w:rFonts w:cs="Times New Roman"/>
              <w:sz w:val="24"/>
            </w:rPr>
            <w:fldChar w:fldCharType="begin"/>
          </w:r>
          <w:r>
            <w:rPr>
              <w:rFonts w:cs="Times New Roman"/>
              <w:sz w:val="24"/>
            </w:rPr>
            <w:instrText xml:space="preserve"> CITATION XLS17 \l 12298 </w:instrText>
          </w:r>
          <w:r>
            <w:rPr>
              <w:rFonts w:cs="Times New Roman"/>
              <w:sz w:val="24"/>
            </w:rPr>
            <w:fldChar w:fldCharType="separate"/>
          </w:r>
          <w:r w:rsidR="00A4238C" w:rsidRPr="00A4238C">
            <w:rPr>
              <w:rFonts w:cs="Times New Roman"/>
              <w:noProof/>
              <w:sz w:val="24"/>
            </w:rPr>
            <w:t>(XLSTAT, 2017)</w:t>
          </w:r>
          <w:r>
            <w:rPr>
              <w:rFonts w:cs="Times New Roman"/>
              <w:sz w:val="24"/>
            </w:rPr>
            <w:fldChar w:fldCharType="end"/>
          </w:r>
        </w:sdtContent>
      </w:sdt>
      <w:r w:rsidRPr="0053448B">
        <w:rPr>
          <w:rFonts w:cs="Times New Roman"/>
          <w:sz w:val="24"/>
        </w:rPr>
        <w:t>).</w:t>
      </w:r>
      <w:r w:rsidR="00FB6115">
        <w:rPr>
          <w:rFonts w:cs="Times New Roman"/>
          <w:sz w:val="24"/>
        </w:rPr>
        <w:t xml:space="preserve"> (…) </w:t>
      </w:r>
      <w:r w:rsidR="00FB6115" w:rsidRPr="00FB6115">
        <w:rPr>
          <w:rFonts w:cs="Times New Roman"/>
          <w:sz w:val="24"/>
        </w:rPr>
        <w:t xml:space="preserve">Este enfoque muestra claramente cómo la tradición del análisis de tablas múltiples “orientada a los datos” en alguna medida puede fusionarse con la tradición “orientada a la teoría” de los modelos de ecuaciones estructurales, de suerte que permite llevar a cabo análisis de datos </w:t>
      </w:r>
      <w:proofErr w:type="spellStart"/>
      <w:r w:rsidR="00FB6115" w:rsidRPr="00FB6115">
        <w:rPr>
          <w:rFonts w:cs="Times New Roman"/>
          <w:sz w:val="24"/>
        </w:rPr>
        <w:t>multi</w:t>
      </w:r>
      <w:proofErr w:type="spellEnd"/>
      <w:r w:rsidR="00FB6115" w:rsidRPr="00FB6115">
        <w:rPr>
          <w:rFonts w:cs="Times New Roman"/>
          <w:sz w:val="24"/>
        </w:rPr>
        <w:t>-bloque a la luz del conocimiento actual sobre las relaciones entre las tablas</w:t>
      </w:r>
      <w:r w:rsidR="00786C79">
        <w:rPr>
          <w:rFonts w:cs="Times New Roman"/>
          <w:sz w:val="24"/>
        </w:rPr>
        <w:t xml:space="preserve"> </w:t>
      </w:r>
      <w:sdt>
        <w:sdtPr>
          <w:rPr>
            <w:rFonts w:cs="Times New Roman"/>
            <w:sz w:val="24"/>
          </w:rPr>
          <w:id w:val="1522120059"/>
          <w:citation/>
        </w:sdtPr>
        <w:sdtContent>
          <w:r w:rsidR="00786C79">
            <w:rPr>
              <w:rFonts w:cs="Times New Roman"/>
              <w:sz w:val="24"/>
            </w:rPr>
            <w:fldChar w:fldCharType="begin"/>
          </w:r>
          <w:r w:rsidR="00786C79">
            <w:rPr>
              <w:rFonts w:cs="Times New Roman"/>
              <w:sz w:val="24"/>
            </w:rPr>
            <w:instrText xml:space="preserve"> CITATION XLS17 \l 12298 </w:instrText>
          </w:r>
          <w:r w:rsidR="00786C79">
            <w:rPr>
              <w:rFonts w:cs="Times New Roman"/>
              <w:sz w:val="24"/>
            </w:rPr>
            <w:fldChar w:fldCharType="separate"/>
          </w:r>
          <w:r w:rsidR="00A4238C" w:rsidRPr="00A4238C">
            <w:rPr>
              <w:rFonts w:cs="Times New Roman"/>
              <w:noProof/>
              <w:sz w:val="24"/>
            </w:rPr>
            <w:t>(XLSTAT, 2017)</w:t>
          </w:r>
          <w:r w:rsidR="00786C79">
            <w:rPr>
              <w:rFonts w:cs="Times New Roman"/>
              <w:sz w:val="24"/>
            </w:rPr>
            <w:fldChar w:fldCharType="end"/>
          </w:r>
        </w:sdtContent>
      </w:sdt>
      <w:r w:rsidR="00FB6115" w:rsidRPr="00FB6115">
        <w:rPr>
          <w:rFonts w:cs="Times New Roman"/>
          <w:sz w:val="24"/>
        </w:rPr>
        <w:t>.</w:t>
      </w:r>
    </w:p>
    <w:p w:rsidR="004E237A" w:rsidRDefault="008B3C1F" w:rsidP="00891126">
      <w:pPr>
        <w:spacing w:before="240" w:line="276" w:lineRule="auto"/>
        <w:jc w:val="both"/>
        <w:rPr>
          <w:rFonts w:cs="Times New Roman"/>
          <w:b/>
          <w:sz w:val="24"/>
        </w:rPr>
      </w:pPr>
      <w:r>
        <w:rPr>
          <w:rFonts w:cs="Times New Roman"/>
          <w:b/>
          <w:sz w:val="24"/>
        </w:rPr>
        <w:t>Resultados y Discusión</w:t>
      </w:r>
    </w:p>
    <w:p w:rsidR="002E28B5" w:rsidRPr="002E28B5" w:rsidRDefault="002E28B5" w:rsidP="00891126">
      <w:pPr>
        <w:spacing w:line="276" w:lineRule="auto"/>
        <w:jc w:val="both"/>
        <w:rPr>
          <w:rFonts w:cs="Times New Roman"/>
          <w:b/>
          <w:sz w:val="24"/>
        </w:rPr>
      </w:pPr>
      <w:r w:rsidRPr="002E28B5">
        <w:rPr>
          <w:rFonts w:cs="Times New Roman"/>
          <w:b/>
          <w:sz w:val="24"/>
        </w:rPr>
        <w:t>Algunas generalidades</w:t>
      </w:r>
    </w:p>
    <w:p w:rsidR="00016F1C" w:rsidRDefault="0037211C" w:rsidP="00891126">
      <w:pPr>
        <w:spacing w:line="276" w:lineRule="auto"/>
        <w:jc w:val="both"/>
        <w:rPr>
          <w:rFonts w:cs="Times New Roman"/>
          <w:sz w:val="24"/>
        </w:rPr>
      </w:pPr>
      <w:r>
        <w:rPr>
          <w:rFonts w:cs="Times New Roman"/>
          <w:sz w:val="24"/>
        </w:rPr>
        <w:t>De manera general el 70,2% de la muestra es mujer, el 14,1% de los participantes cursan cuarto semestre, 27, 8% sexto, 28,3% séptimo y la diferencia cursan el octavo nivel. Respecto a la distribución de la edad la mayoría (69,1%) se concentra en el rango de 18-22 años</w:t>
      </w:r>
      <w:r w:rsidR="002E7344">
        <w:rPr>
          <w:rFonts w:cs="Times New Roman"/>
          <w:sz w:val="24"/>
        </w:rPr>
        <w:t xml:space="preserve">. </w:t>
      </w:r>
    </w:p>
    <w:p w:rsidR="00A61AB8" w:rsidRPr="00A61AB8" w:rsidRDefault="002E7344" w:rsidP="00891126">
      <w:pPr>
        <w:spacing w:line="276" w:lineRule="auto"/>
        <w:jc w:val="both"/>
        <w:rPr>
          <w:rFonts w:cs="Times New Roman"/>
          <w:sz w:val="24"/>
          <w:szCs w:val="24"/>
        </w:rPr>
      </w:pPr>
      <w:r>
        <w:rPr>
          <w:rFonts w:cs="Times New Roman"/>
          <w:sz w:val="24"/>
        </w:rPr>
        <w:t>A continuación, se presenta un breve resumen de los resultados de la dimensi</w:t>
      </w:r>
      <w:r w:rsidR="00135B55">
        <w:rPr>
          <w:rFonts w:cs="Times New Roman"/>
          <w:sz w:val="24"/>
        </w:rPr>
        <w:t>ón de institucionalidad, debido al apego con el criterio de ambiente de aprendizaje desarrollado por el CEAACES</w:t>
      </w:r>
      <w:r w:rsidR="003A7DBE">
        <w:rPr>
          <w:rFonts w:cs="Times New Roman"/>
          <w:sz w:val="24"/>
        </w:rPr>
        <w:t>, se destacan tres resultados que llamaron la atención de los investigadores.</w:t>
      </w:r>
    </w:p>
    <w:p w:rsidR="00542974" w:rsidRDefault="00C15018" w:rsidP="00891126">
      <w:pPr>
        <w:pStyle w:val="Descripcin"/>
        <w:spacing w:line="276" w:lineRule="auto"/>
      </w:pPr>
      <w:r>
        <w:t xml:space="preserve">Tabla </w:t>
      </w:r>
      <w:r w:rsidR="00CA344C">
        <w:rPr>
          <w:noProof/>
        </w:rPr>
        <w:fldChar w:fldCharType="begin"/>
      </w:r>
      <w:r w:rsidR="00CA344C">
        <w:rPr>
          <w:noProof/>
        </w:rPr>
        <w:instrText xml:space="preserve"> SEQ Tabla \* ARABIC </w:instrText>
      </w:r>
      <w:r w:rsidR="00CA344C">
        <w:rPr>
          <w:noProof/>
        </w:rPr>
        <w:fldChar w:fldCharType="separate"/>
      </w:r>
      <w:r w:rsidR="00B71B71">
        <w:rPr>
          <w:noProof/>
        </w:rPr>
        <w:t>2</w:t>
      </w:r>
      <w:r w:rsidR="00CA344C">
        <w:rPr>
          <w:noProof/>
        </w:rPr>
        <w:fldChar w:fldCharType="end"/>
      </w:r>
      <w:r>
        <w:t xml:space="preserve">. </w:t>
      </w:r>
    </w:p>
    <w:p w:rsidR="00C15018" w:rsidRDefault="00C15018" w:rsidP="00891126">
      <w:pPr>
        <w:pStyle w:val="Descripcin"/>
        <w:spacing w:line="276" w:lineRule="auto"/>
      </w:pPr>
      <w:r w:rsidRPr="00542974">
        <w:t>Me siento orgulloso de pertenecer a esta institución educativa.</w:t>
      </w:r>
    </w:p>
    <w:p w:rsidR="00542974" w:rsidRPr="00542974" w:rsidRDefault="00542974" w:rsidP="00891126">
      <w:pPr>
        <w:spacing w:after="0" w:line="276" w:lineRule="auto"/>
      </w:pPr>
    </w:p>
    <w:tbl>
      <w:tblPr>
        <w:tblStyle w:val="Tablanormal2"/>
        <w:tblW w:w="5000" w:type="pct"/>
        <w:tblLook w:val="0660" w:firstRow="1" w:lastRow="1" w:firstColumn="0" w:lastColumn="0" w:noHBand="1" w:noVBand="1"/>
      </w:tblPr>
      <w:tblGrid>
        <w:gridCol w:w="221"/>
        <w:gridCol w:w="924"/>
        <w:gridCol w:w="946"/>
        <w:gridCol w:w="931"/>
        <w:gridCol w:w="947"/>
      </w:tblGrid>
      <w:tr w:rsidR="00C15018" w:rsidRPr="00A61AB8" w:rsidTr="00542974">
        <w:trPr>
          <w:cnfStyle w:val="100000000000" w:firstRow="1" w:lastRow="0" w:firstColumn="0" w:lastColumn="0" w:oddVBand="0" w:evenVBand="0" w:oddHBand="0" w:evenHBand="0" w:firstRowFirstColumn="0" w:firstRowLastColumn="0" w:lastRowFirstColumn="0" w:lastRowLastColumn="0"/>
        </w:trPr>
        <w:tc>
          <w:tcPr>
            <w:tcW w:w="2280" w:type="pct"/>
            <w:gridSpan w:val="2"/>
          </w:tcPr>
          <w:p w:rsidR="00C15018" w:rsidRPr="00A61AB8" w:rsidRDefault="00C15018" w:rsidP="00891126">
            <w:pPr>
              <w:autoSpaceDE w:val="0"/>
              <w:autoSpaceDN w:val="0"/>
              <w:adjustRightInd w:val="0"/>
              <w:spacing w:line="276" w:lineRule="auto"/>
              <w:rPr>
                <w:rFonts w:cs="Times New Roman"/>
                <w:sz w:val="24"/>
                <w:szCs w:val="24"/>
              </w:rPr>
            </w:pPr>
          </w:p>
        </w:tc>
        <w:tc>
          <w:tcPr>
            <w:tcW w:w="857" w:type="pct"/>
          </w:tcPr>
          <w:p w:rsidR="00C15018" w:rsidRPr="00A61AB8" w:rsidRDefault="00C15018" w:rsidP="00891126">
            <w:pPr>
              <w:autoSpaceDE w:val="0"/>
              <w:autoSpaceDN w:val="0"/>
              <w:adjustRightInd w:val="0"/>
              <w:spacing w:line="276" w:lineRule="auto"/>
              <w:ind w:left="60" w:right="60"/>
              <w:jc w:val="center"/>
              <w:rPr>
                <w:rFonts w:cs="Times New Roman"/>
                <w:color w:val="000000"/>
                <w:sz w:val="18"/>
                <w:szCs w:val="18"/>
              </w:rPr>
            </w:pPr>
            <w:r w:rsidRPr="00A61AB8">
              <w:rPr>
                <w:rFonts w:cs="Times New Roman"/>
                <w:color w:val="000000"/>
                <w:sz w:val="18"/>
                <w:szCs w:val="18"/>
              </w:rPr>
              <w:t>Frecuencia</w:t>
            </w:r>
          </w:p>
        </w:tc>
        <w:tc>
          <w:tcPr>
            <w:tcW w:w="835" w:type="pct"/>
          </w:tcPr>
          <w:p w:rsidR="00C15018" w:rsidRPr="00A61AB8" w:rsidRDefault="00C15018" w:rsidP="00891126">
            <w:pPr>
              <w:autoSpaceDE w:val="0"/>
              <w:autoSpaceDN w:val="0"/>
              <w:adjustRightInd w:val="0"/>
              <w:spacing w:line="276" w:lineRule="auto"/>
              <w:ind w:left="60" w:right="60"/>
              <w:jc w:val="center"/>
              <w:rPr>
                <w:rFonts w:cs="Times New Roman"/>
                <w:color w:val="000000"/>
                <w:sz w:val="18"/>
                <w:szCs w:val="18"/>
              </w:rPr>
            </w:pPr>
            <w:r w:rsidRPr="00A61AB8">
              <w:rPr>
                <w:rFonts w:cs="Times New Roman"/>
                <w:color w:val="000000"/>
                <w:sz w:val="18"/>
                <w:szCs w:val="18"/>
              </w:rPr>
              <w:t>Porcentaje</w:t>
            </w:r>
          </w:p>
        </w:tc>
        <w:tc>
          <w:tcPr>
            <w:tcW w:w="1028" w:type="pct"/>
          </w:tcPr>
          <w:p w:rsidR="00C15018" w:rsidRPr="00A61AB8" w:rsidRDefault="00C15018" w:rsidP="00891126">
            <w:pPr>
              <w:autoSpaceDE w:val="0"/>
              <w:autoSpaceDN w:val="0"/>
              <w:adjustRightInd w:val="0"/>
              <w:spacing w:line="276" w:lineRule="auto"/>
              <w:ind w:left="60" w:right="60"/>
              <w:jc w:val="center"/>
              <w:rPr>
                <w:rFonts w:cs="Times New Roman"/>
                <w:color w:val="000000"/>
                <w:sz w:val="18"/>
                <w:szCs w:val="18"/>
              </w:rPr>
            </w:pPr>
            <w:r w:rsidRPr="00A61AB8">
              <w:rPr>
                <w:rFonts w:cs="Times New Roman"/>
                <w:color w:val="000000"/>
                <w:sz w:val="18"/>
                <w:szCs w:val="18"/>
              </w:rPr>
              <w:t>Porcentaje acumulado</w:t>
            </w:r>
          </w:p>
        </w:tc>
      </w:tr>
      <w:tr w:rsidR="00C15018" w:rsidRPr="00A61AB8" w:rsidTr="00542974">
        <w:tc>
          <w:tcPr>
            <w:tcW w:w="566" w:type="pct"/>
            <w:vMerge w:val="restart"/>
          </w:tcPr>
          <w:p w:rsidR="00C15018" w:rsidRPr="00A61AB8" w:rsidRDefault="00C15018" w:rsidP="00891126">
            <w:pPr>
              <w:autoSpaceDE w:val="0"/>
              <w:autoSpaceDN w:val="0"/>
              <w:adjustRightInd w:val="0"/>
              <w:spacing w:line="276" w:lineRule="auto"/>
              <w:ind w:right="60"/>
              <w:rPr>
                <w:rFonts w:cs="Times New Roman"/>
                <w:color w:val="000000"/>
                <w:sz w:val="18"/>
                <w:szCs w:val="18"/>
              </w:rPr>
            </w:pPr>
          </w:p>
        </w:tc>
        <w:tc>
          <w:tcPr>
            <w:tcW w:w="1714" w:type="pct"/>
          </w:tcPr>
          <w:p w:rsidR="00C15018" w:rsidRPr="00A61AB8" w:rsidRDefault="00C15018"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Totalmente en desacuerdo</w:t>
            </w:r>
          </w:p>
        </w:tc>
        <w:tc>
          <w:tcPr>
            <w:tcW w:w="857"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36</w:t>
            </w:r>
          </w:p>
        </w:tc>
        <w:tc>
          <w:tcPr>
            <w:tcW w:w="835"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17,6</w:t>
            </w:r>
            <w:r>
              <w:rPr>
                <w:rFonts w:cs="Times New Roman"/>
                <w:color w:val="000000"/>
                <w:sz w:val="18"/>
                <w:szCs w:val="18"/>
              </w:rPr>
              <w:t>%</w:t>
            </w:r>
          </w:p>
        </w:tc>
        <w:tc>
          <w:tcPr>
            <w:tcW w:w="1028"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17,6</w:t>
            </w:r>
          </w:p>
        </w:tc>
      </w:tr>
      <w:tr w:rsidR="00C15018" w:rsidRPr="00A61AB8" w:rsidTr="00542974">
        <w:tc>
          <w:tcPr>
            <w:tcW w:w="566" w:type="pct"/>
            <w:vMerge/>
          </w:tcPr>
          <w:p w:rsidR="00C15018" w:rsidRPr="00A61AB8" w:rsidRDefault="00C15018" w:rsidP="00891126">
            <w:pPr>
              <w:autoSpaceDE w:val="0"/>
              <w:autoSpaceDN w:val="0"/>
              <w:adjustRightInd w:val="0"/>
              <w:spacing w:line="276" w:lineRule="auto"/>
              <w:rPr>
                <w:rFonts w:cs="Times New Roman"/>
                <w:color w:val="000000"/>
                <w:sz w:val="18"/>
                <w:szCs w:val="18"/>
              </w:rPr>
            </w:pPr>
          </w:p>
        </w:tc>
        <w:tc>
          <w:tcPr>
            <w:tcW w:w="1714" w:type="pct"/>
          </w:tcPr>
          <w:p w:rsidR="00C15018" w:rsidRPr="00A61AB8" w:rsidRDefault="00C15018"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En desacuerdo</w:t>
            </w:r>
          </w:p>
        </w:tc>
        <w:tc>
          <w:tcPr>
            <w:tcW w:w="857"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30</w:t>
            </w:r>
          </w:p>
        </w:tc>
        <w:tc>
          <w:tcPr>
            <w:tcW w:w="835"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14,6</w:t>
            </w:r>
            <w:r>
              <w:rPr>
                <w:rFonts w:cs="Times New Roman"/>
                <w:color w:val="000000"/>
                <w:sz w:val="18"/>
                <w:szCs w:val="18"/>
              </w:rPr>
              <w:t>%</w:t>
            </w:r>
          </w:p>
        </w:tc>
        <w:tc>
          <w:tcPr>
            <w:tcW w:w="1028"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32,2</w:t>
            </w:r>
          </w:p>
        </w:tc>
      </w:tr>
      <w:tr w:rsidR="00C15018" w:rsidRPr="00A61AB8" w:rsidTr="00542974">
        <w:tc>
          <w:tcPr>
            <w:tcW w:w="566" w:type="pct"/>
            <w:vMerge/>
          </w:tcPr>
          <w:p w:rsidR="00C15018" w:rsidRPr="00A61AB8" w:rsidRDefault="00C15018" w:rsidP="00891126">
            <w:pPr>
              <w:autoSpaceDE w:val="0"/>
              <w:autoSpaceDN w:val="0"/>
              <w:adjustRightInd w:val="0"/>
              <w:spacing w:line="276" w:lineRule="auto"/>
              <w:rPr>
                <w:rFonts w:cs="Times New Roman"/>
                <w:color w:val="000000"/>
                <w:sz w:val="18"/>
                <w:szCs w:val="18"/>
              </w:rPr>
            </w:pPr>
          </w:p>
        </w:tc>
        <w:tc>
          <w:tcPr>
            <w:tcW w:w="1714" w:type="pct"/>
          </w:tcPr>
          <w:p w:rsidR="00C15018" w:rsidRPr="00A61AB8" w:rsidRDefault="00C15018"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Indiferente</w:t>
            </w:r>
          </w:p>
        </w:tc>
        <w:tc>
          <w:tcPr>
            <w:tcW w:w="857"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43</w:t>
            </w:r>
          </w:p>
        </w:tc>
        <w:tc>
          <w:tcPr>
            <w:tcW w:w="835"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21,0</w:t>
            </w:r>
            <w:r>
              <w:rPr>
                <w:rFonts w:cs="Times New Roman"/>
                <w:color w:val="000000"/>
                <w:sz w:val="18"/>
                <w:szCs w:val="18"/>
              </w:rPr>
              <w:t>%</w:t>
            </w:r>
          </w:p>
        </w:tc>
        <w:tc>
          <w:tcPr>
            <w:tcW w:w="1028"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53,2</w:t>
            </w:r>
          </w:p>
        </w:tc>
      </w:tr>
      <w:tr w:rsidR="00C15018" w:rsidRPr="00A61AB8" w:rsidTr="00542974">
        <w:tc>
          <w:tcPr>
            <w:tcW w:w="566" w:type="pct"/>
            <w:vMerge/>
          </w:tcPr>
          <w:p w:rsidR="00C15018" w:rsidRPr="00A61AB8" w:rsidRDefault="00C15018" w:rsidP="00891126">
            <w:pPr>
              <w:autoSpaceDE w:val="0"/>
              <w:autoSpaceDN w:val="0"/>
              <w:adjustRightInd w:val="0"/>
              <w:spacing w:line="276" w:lineRule="auto"/>
              <w:rPr>
                <w:rFonts w:cs="Times New Roman"/>
                <w:color w:val="000000"/>
                <w:sz w:val="18"/>
                <w:szCs w:val="18"/>
              </w:rPr>
            </w:pPr>
          </w:p>
        </w:tc>
        <w:tc>
          <w:tcPr>
            <w:tcW w:w="1714" w:type="pct"/>
          </w:tcPr>
          <w:p w:rsidR="00C15018" w:rsidRPr="00A61AB8" w:rsidRDefault="00C15018"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De acuerdo</w:t>
            </w:r>
          </w:p>
        </w:tc>
        <w:tc>
          <w:tcPr>
            <w:tcW w:w="857"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44</w:t>
            </w:r>
          </w:p>
        </w:tc>
        <w:tc>
          <w:tcPr>
            <w:tcW w:w="835"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21,5</w:t>
            </w:r>
            <w:r>
              <w:rPr>
                <w:rFonts w:cs="Times New Roman"/>
                <w:color w:val="000000"/>
                <w:sz w:val="18"/>
                <w:szCs w:val="18"/>
              </w:rPr>
              <w:t>%</w:t>
            </w:r>
          </w:p>
        </w:tc>
        <w:tc>
          <w:tcPr>
            <w:tcW w:w="1028"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74,6</w:t>
            </w:r>
          </w:p>
        </w:tc>
      </w:tr>
      <w:tr w:rsidR="00C15018" w:rsidRPr="00A61AB8" w:rsidTr="00542974">
        <w:tc>
          <w:tcPr>
            <w:tcW w:w="566" w:type="pct"/>
            <w:vMerge/>
          </w:tcPr>
          <w:p w:rsidR="00C15018" w:rsidRPr="00A61AB8" w:rsidRDefault="00C15018" w:rsidP="00891126">
            <w:pPr>
              <w:autoSpaceDE w:val="0"/>
              <w:autoSpaceDN w:val="0"/>
              <w:adjustRightInd w:val="0"/>
              <w:spacing w:line="276" w:lineRule="auto"/>
              <w:rPr>
                <w:rFonts w:cs="Times New Roman"/>
                <w:color w:val="000000"/>
                <w:sz w:val="18"/>
                <w:szCs w:val="18"/>
              </w:rPr>
            </w:pPr>
          </w:p>
        </w:tc>
        <w:tc>
          <w:tcPr>
            <w:tcW w:w="1714" w:type="pct"/>
          </w:tcPr>
          <w:p w:rsidR="00C15018" w:rsidRPr="00A61AB8" w:rsidRDefault="00C15018"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Totalmente de acuerdo</w:t>
            </w:r>
          </w:p>
        </w:tc>
        <w:tc>
          <w:tcPr>
            <w:tcW w:w="857"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52</w:t>
            </w:r>
          </w:p>
        </w:tc>
        <w:tc>
          <w:tcPr>
            <w:tcW w:w="835"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25,4</w:t>
            </w:r>
            <w:r>
              <w:rPr>
                <w:rFonts w:cs="Times New Roman"/>
                <w:color w:val="000000"/>
                <w:sz w:val="18"/>
                <w:szCs w:val="18"/>
              </w:rPr>
              <w:t>%</w:t>
            </w:r>
          </w:p>
        </w:tc>
        <w:tc>
          <w:tcPr>
            <w:tcW w:w="1028"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100,0</w:t>
            </w:r>
          </w:p>
        </w:tc>
      </w:tr>
      <w:tr w:rsidR="00C15018" w:rsidRPr="00A61AB8" w:rsidTr="00542974">
        <w:trPr>
          <w:cnfStyle w:val="010000000000" w:firstRow="0" w:lastRow="1" w:firstColumn="0" w:lastColumn="0" w:oddVBand="0" w:evenVBand="0" w:oddHBand="0" w:evenHBand="0" w:firstRowFirstColumn="0" w:firstRowLastColumn="0" w:lastRowFirstColumn="0" w:lastRowLastColumn="0"/>
        </w:trPr>
        <w:tc>
          <w:tcPr>
            <w:tcW w:w="566" w:type="pct"/>
            <w:vMerge/>
          </w:tcPr>
          <w:p w:rsidR="00C15018" w:rsidRPr="00A61AB8" w:rsidRDefault="00C15018" w:rsidP="00891126">
            <w:pPr>
              <w:autoSpaceDE w:val="0"/>
              <w:autoSpaceDN w:val="0"/>
              <w:adjustRightInd w:val="0"/>
              <w:spacing w:line="276" w:lineRule="auto"/>
              <w:rPr>
                <w:rFonts w:cs="Times New Roman"/>
                <w:color w:val="000000"/>
                <w:sz w:val="18"/>
                <w:szCs w:val="18"/>
              </w:rPr>
            </w:pPr>
          </w:p>
        </w:tc>
        <w:tc>
          <w:tcPr>
            <w:tcW w:w="1714" w:type="pct"/>
          </w:tcPr>
          <w:p w:rsidR="00C15018" w:rsidRPr="00A61AB8" w:rsidRDefault="00C15018"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Total</w:t>
            </w:r>
          </w:p>
        </w:tc>
        <w:tc>
          <w:tcPr>
            <w:tcW w:w="857"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205</w:t>
            </w:r>
          </w:p>
        </w:tc>
        <w:tc>
          <w:tcPr>
            <w:tcW w:w="835" w:type="pct"/>
          </w:tcPr>
          <w:p w:rsidR="00C15018" w:rsidRPr="00A61AB8" w:rsidRDefault="00C15018" w:rsidP="00891126">
            <w:pPr>
              <w:autoSpaceDE w:val="0"/>
              <w:autoSpaceDN w:val="0"/>
              <w:adjustRightInd w:val="0"/>
              <w:spacing w:line="276" w:lineRule="auto"/>
              <w:ind w:left="60" w:right="60"/>
              <w:jc w:val="right"/>
              <w:rPr>
                <w:rFonts w:cs="Times New Roman"/>
                <w:color w:val="000000"/>
                <w:sz w:val="18"/>
                <w:szCs w:val="18"/>
              </w:rPr>
            </w:pPr>
            <w:r>
              <w:rPr>
                <w:rFonts w:cs="Times New Roman"/>
                <w:color w:val="000000"/>
                <w:sz w:val="18"/>
                <w:szCs w:val="18"/>
              </w:rPr>
              <w:t>100%</w:t>
            </w:r>
          </w:p>
        </w:tc>
        <w:tc>
          <w:tcPr>
            <w:tcW w:w="1028" w:type="pct"/>
          </w:tcPr>
          <w:p w:rsidR="00C15018" w:rsidRPr="00A61AB8" w:rsidRDefault="00C15018" w:rsidP="00891126">
            <w:pPr>
              <w:autoSpaceDE w:val="0"/>
              <w:autoSpaceDN w:val="0"/>
              <w:adjustRightInd w:val="0"/>
              <w:spacing w:line="276" w:lineRule="auto"/>
              <w:rPr>
                <w:rFonts w:cs="Times New Roman"/>
                <w:sz w:val="24"/>
                <w:szCs w:val="24"/>
              </w:rPr>
            </w:pPr>
          </w:p>
        </w:tc>
      </w:tr>
    </w:tbl>
    <w:p w:rsidR="00A61AB8" w:rsidRPr="0068717B" w:rsidRDefault="0068717B" w:rsidP="00891126">
      <w:pPr>
        <w:autoSpaceDE w:val="0"/>
        <w:autoSpaceDN w:val="0"/>
        <w:adjustRightInd w:val="0"/>
        <w:spacing w:after="0" w:line="276" w:lineRule="auto"/>
        <w:jc w:val="both"/>
        <w:rPr>
          <w:rFonts w:cs="Times New Roman"/>
          <w:sz w:val="24"/>
          <w:szCs w:val="24"/>
        </w:rPr>
      </w:pPr>
      <w:r w:rsidRPr="0068717B">
        <w:rPr>
          <w:rFonts w:cs="Times New Roman"/>
          <w:sz w:val="24"/>
          <w:szCs w:val="24"/>
        </w:rPr>
        <w:t>Los datos muestran un alto grado de indiferencia</w:t>
      </w:r>
      <w:r>
        <w:rPr>
          <w:rFonts w:cs="Times New Roman"/>
          <w:sz w:val="24"/>
          <w:szCs w:val="24"/>
        </w:rPr>
        <w:t xml:space="preserve"> (21%) </w:t>
      </w:r>
      <w:r w:rsidRPr="0068717B">
        <w:rPr>
          <w:rFonts w:cs="Times New Roman"/>
          <w:sz w:val="24"/>
          <w:szCs w:val="24"/>
        </w:rPr>
        <w:t>respecto a identificarse con la universidad</w:t>
      </w:r>
      <w:r>
        <w:rPr>
          <w:rFonts w:cs="Times New Roman"/>
          <w:sz w:val="24"/>
          <w:szCs w:val="24"/>
        </w:rPr>
        <w:t xml:space="preserve"> (pertenencia), aunque un porcentaje acumulado (46,9%) se siente orgulloso/a de pertenecer a la institución, </w:t>
      </w:r>
      <w:r w:rsidR="00914FE4">
        <w:rPr>
          <w:rFonts w:cs="Times New Roman"/>
          <w:sz w:val="24"/>
          <w:szCs w:val="24"/>
        </w:rPr>
        <w:t xml:space="preserve">y </w:t>
      </w:r>
      <w:r>
        <w:rPr>
          <w:rFonts w:cs="Times New Roman"/>
          <w:sz w:val="24"/>
          <w:szCs w:val="24"/>
        </w:rPr>
        <w:t>el 32,2% de estudiantes no sienten pertenencia por la universidad</w:t>
      </w:r>
      <w:r w:rsidR="00B14CAD">
        <w:rPr>
          <w:rFonts w:cs="Times New Roman"/>
          <w:sz w:val="24"/>
          <w:szCs w:val="24"/>
        </w:rPr>
        <w:t>, son datos atípicos por el tiempo que llevan en la institución</w:t>
      </w:r>
      <w:r>
        <w:rPr>
          <w:rFonts w:cs="Times New Roman"/>
          <w:sz w:val="24"/>
          <w:szCs w:val="24"/>
        </w:rPr>
        <w:t>.</w:t>
      </w:r>
      <w:r w:rsidR="00020664">
        <w:rPr>
          <w:rFonts w:cs="Times New Roman"/>
          <w:sz w:val="24"/>
          <w:szCs w:val="24"/>
        </w:rPr>
        <w:t xml:space="preserve"> </w:t>
      </w:r>
    </w:p>
    <w:p w:rsidR="00A61AB8" w:rsidRPr="00A61AB8" w:rsidRDefault="00A61AB8" w:rsidP="00891126">
      <w:pPr>
        <w:autoSpaceDE w:val="0"/>
        <w:autoSpaceDN w:val="0"/>
        <w:adjustRightInd w:val="0"/>
        <w:spacing w:after="0" w:line="276" w:lineRule="auto"/>
        <w:rPr>
          <w:rFonts w:cs="Times New Roman"/>
          <w:sz w:val="24"/>
          <w:szCs w:val="24"/>
        </w:rPr>
      </w:pPr>
    </w:p>
    <w:p w:rsidR="00542974" w:rsidRDefault="00542974" w:rsidP="00891126">
      <w:pPr>
        <w:pStyle w:val="Descripcin"/>
        <w:spacing w:line="276" w:lineRule="auto"/>
      </w:pPr>
      <w:r>
        <w:t xml:space="preserve">Tabla </w:t>
      </w:r>
      <w:r w:rsidR="00CA344C">
        <w:rPr>
          <w:noProof/>
        </w:rPr>
        <w:fldChar w:fldCharType="begin"/>
      </w:r>
      <w:r w:rsidR="00CA344C">
        <w:rPr>
          <w:noProof/>
        </w:rPr>
        <w:instrText xml:space="preserve"> SEQ Tabla \* ARABIC </w:instrText>
      </w:r>
      <w:r w:rsidR="00CA344C">
        <w:rPr>
          <w:noProof/>
        </w:rPr>
        <w:fldChar w:fldCharType="separate"/>
      </w:r>
      <w:r w:rsidR="00B71B71">
        <w:rPr>
          <w:noProof/>
        </w:rPr>
        <w:t>3</w:t>
      </w:r>
      <w:r w:rsidR="00CA344C">
        <w:rPr>
          <w:noProof/>
        </w:rPr>
        <w:fldChar w:fldCharType="end"/>
      </w:r>
      <w:r>
        <w:t xml:space="preserve">. </w:t>
      </w:r>
    </w:p>
    <w:p w:rsidR="00542974" w:rsidRDefault="00542974" w:rsidP="00891126">
      <w:pPr>
        <w:pStyle w:val="Descripcin"/>
        <w:spacing w:line="276" w:lineRule="auto"/>
      </w:pPr>
      <w:r w:rsidRPr="00B5485F">
        <w:t>Siento orgullo por la carrera que estoy estudiando.</w:t>
      </w:r>
    </w:p>
    <w:p w:rsidR="00016F1C" w:rsidRPr="00016F1C" w:rsidRDefault="00016F1C" w:rsidP="00891126">
      <w:pPr>
        <w:spacing w:after="0" w:line="276" w:lineRule="auto"/>
      </w:pPr>
    </w:p>
    <w:tbl>
      <w:tblPr>
        <w:tblStyle w:val="Tablanormal2"/>
        <w:tblW w:w="5000" w:type="pct"/>
        <w:tblLook w:val="0660" w:firstRow="1" w:lastRow="1" w:firstColumn="0" w:lastColumn="0" w:noHBand="1" w:noVBand="1"/>
      </w:tblPr>
      <w:tblGrid>
        <w:gridCol w:w="221"/>
        <w:gridCol w:w="924"/>
        <w:gridCol w:w="946"/>
        <w:gridCol w:w="931"/>
        <w:gridCol w:w="947"/>
      </w:tblGrid>
      <w:tr w:rsidR="00542974" w:rsidRPr="00542974" w:rsidTr="00542974">
        <w:trPr>
          <w:cnfStyle w:val="100000000000" w:firstRow="1" w:lastRow="0" w:firstColumn="0" w:lastColumn="0" w:oddVBand="0" w:evenVBand="0" w:oddHBand="0" w:evenHBand="0" w:firstRowFirstColumn="0" w:firstRowLastColumn="0" w:lastRowFirstColumn="0" w:lastRowLastColumn="0"/>
        </w:trPr>
        <w:tc>
          <w:tcPr>
            <w:tcW w:w="1784" w:type="pct"/>
            <w:gridSpan w:val="2"/>
          </w:tcPr>
          <w:p w:rsidR="00542974" w:rsidRPr="00A61AB8" w:rsidRDefault="00542974" w:rsidP="00891126">
            <w:pPr>
              <w:autoSpaceDE w:val="0"/>
              <w:autoSpaceDN w:val="0"/>
              <w:adjustRightInd w:val="0"/>
              <w:spacing w:line="276" w:lineRule="auto"/>
              <w:rPr>
                <w:rFonts w:cs="Times New Roman"/>
                <w:sz w:val="24"/>
                <w:szCs w:val="24"/>
              </w:rPr>
            </w:pPr>
          </w:p>
        </w:tc>
        <w:tc>
          <w:tcPr>
            <w:tcW w:w="864" w:type="pct"/>
          </w:tcPr>
          <w:p w:rsidR="00542974" w:rsidRPr="00A61AB8" w:rsidRDefault="00542974" w:rsidP="00891126">
            <w:pPr>
              <w:autoSpaceDE w:val="0"/>
              <w:autoSpaceDN w:val="0"/>
              <w:adjustRightInd w:val="0"/>
              <w:spacing w:line="276" w:lineRule="auto"/>
              <w:ind w:left="60" w:right="60"/>
              <w:jc w:val="center"/>
              <w:rPr>
                <w:rFonts w:cs="Times New Roman"/>
                <w:color w:val="000000"/>
                <w:sz w:val="18"/>
                <w:szCs w:val="18"/>
              </w:rPr>
            </w:pPr>
            <w:r w:rsidRPr="00A61AB8">
              <w:rPr>
                <w:rFonts w:cs="Times New Roman"/>
                <w:color w:val="000000"/>
                <w:sz w:val="18"/>
                <w:szCs w:val="18"/>
              </w:rPr>
              <w:t>Frecuencia</w:t>
            </w:r>
          </w:p>
        </w:tc>
        <w:tc>
          <w:tcPr>
            <w:tcW w:w="850" w:type="pct"/>
          </w:tcPr>
          <w:p w:rsidR="00542974" w:rsidRPr="00A61AB8" w:rsidRDefault="00542974" w:rsidP="00891126">
            <w:pPr>
              <w:autoSpaceDE w:val="0"/>
              <w:autoSpaceDN w:val="0"/>
              <w:adjustRightInd w:val="0"/>
              <w:spacing w:line="276" w:lineRule="auto"/>
              <w:ind w:left="60" w:right="60"/>
              <w:jc w:val="center"/>
              <w:rPr>
                <w:rFonts w:cs="Times New Roman"/>
                <w:color w:val="000000"/>
                <w:sz w:val="18"/>
                <w:szCs w:val="18"/>
              </w:rPr>
            </w:pPr>
            <w:r w:rsidRPr="00A61AB8">
              <w:rPr>
                <w:rFonts w:cs="Times New Roman"/>
                <w:color w:val="000000"/>
                <w:sz w:val="18"/>
                <w:szCs w:val="18"/>
              </w:rPr>
              <w:t>Porcentaje</w:t>
            </w:r>
          </w:p>
        </w:tc>
        <w:tc>
          <w:tcPr>
            <w:tcW w:w="1502" w:type="pct"/>
          </w:tcPr>
          <w:p w:rsidR="00542974" w:rsidRPr="00A61AB8" w:rsidRDefault="00542974" w:rsidP="00891126">
            <w:pPr>
              <w:autoSpaceDE w:val="0"/>
              <w:autoSpaceDN w:val="0"/>
              <w:adjustRightInd w:val="0"/>
              <w:spacing w:line="276" w:lineRule="auto"/>
              <w:ind w:left="60" w:right="60"/>
              <w:jc w:val="center"/>
              <w:rPr>
                <w:rFonts w:cs="Times New Roman"/>
                <w:color w:val="000000"/>
                <w:sz w:val="18"/>
                <w:szCs w:val="18"/>
              </w:rPr>
            </w:pPr>
            <w:r w:rsidRPr="00A61AB8">
              <w:rPr>
                <w:rFonts w:cs="Times New Roman"/>
                <w:color w:val="000000"/>
                <w:sz w:val="18"/>
                <w:szCs w:val="18"/>
              </w:rPr>
              <w:t>Porcentaje acumulado</w:t>
            </w:r>
          </w:p>
        </w:tc>
      </w:tr>
      <w:tr w:rsidR="00542974" w:rsidRPr="00542974" w:rsidTr="00542974">
        <w:tc>
          <w:tcPr>
            <w:tcW w:w="162" w:type="pct"/>
            <w:vMerge w:val="restart"/>
          </w:tcPr>
          <w:p w:rsidR="00542974" w:rsidRPr="00A61AB8" w:rsidRDefault="00542974" w:rsidP="00891126">
            <w:pPr>
              <w:autoSpaceDE w:val="0"/>
              <w:autoSpaceDN w:val="0"/>
              <w:adjustRightInd w:val="0"/>
              <w:spacing w:line="276" w:lineRule="auto"/>
              <w:ind w:right="60"/>
              <w:rPr>
                <w:rFonts w:cs="Times New Roman"/>
                <w:color w:val="000000"/>
                <w:sz w:val="18"/>
                <w:szCs w:val="18"/>
              </w:rPr>
            </w:pPr>
          </w:p>
        </w:tc>
        <w:tc>
          <w:tcPr>
            <w:tcW w:w="1622" w:type="pct"/>
          </w:tcPr>
          <w:p w:rsidR="00542974" w:rsidRPr="00A61AB8" w:rsidRDefault="00542974"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Totalmente en desacuerdo</w:t>
            </w:r>
          </w:p>
        </w:tc>
        <w:tc>
          <w:tcPr>
            <w:tcW w:w="864"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38</w:t>
            </w:r>
          </w:p>
        </w:tc>
        <w:tc>
          <w:tcPr>
            <w:tcW w:w="850"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18,5</w:t>
            </w:r>
          </w:p>
        </w:tc>
        <w:tc>
          <w:tcPr>
            <w:tcW w:w="1502"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18,5</w:t>
            </w:r>
          </w:p>
        </w:tc>
      </w:tr>
      <w:tr w:rsidR="00542974" w:rsidRPr="00542974" w:rsidTr="00542974">
        <w:tc>
          <w:tcPr>
            <w:tcW w:w="162" w:type="pct"/>
            <w:vMerge/>
          </w:tcPr>
          <w:p w:rsidR="00542974" w:rsidRPr="00A61AB8" w:rsidRDefault="00542974" w:rsidP="00891126">
            <w:pPr>
              <w:autoSpaceDE w:val="0"/>
              <w:autoSpaceDN w:val="0"/>
              <w:adjustRightInd w:val="0"/>
              <w:spacing w:line="276" w:lineRule="auto"/>
              <w:rPr>
                <w:rFonts w:cs="Times New Roman"/>
                <w:color w:val="000000"/>
                <w:sz w:val="18"/>
                <w:szCs w:val="18"/>
              </w:rPr>
            </w:pPr>
          </w:p>
        </w:tc>
        <w:tc>
          <w:tcPr>
            <w:tcW w:w="1622" w:type="pct"/>
          </w:tcPr>
          <w:p w:rsidR="00542974" w:rsidRPr="00A61AB8" w:rsidRDefault="00542974"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En desacuerdo</w:t>
            </w:r>
          </w:p>
        </w:tc>
        <w:tc>
          <w:tcPr>
            <w:tcW w:w="864"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34</w:t>
            </w:r>
          </w:p>
        </w:tc>
        <w:tc>
          <w:tcPr>
            <w:tcW w:w="850"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16,6</w:t>
            </w:r>
          </w:p>
        </w:tc>
        <w:tc>
          <w:tcPr>
            <w:tcW w:w="1502"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35,1</w:t>
            </w:r>
          </w:p>
        </w:tc>
      </w:tr>
      <w:tr w:rsidR="00542974" w:rsidRPr="00542974" w:rsidTr="00542974">
        <w:tc>
          <w:tcPr>
            <w:tcW w:w="162" w:type="pct"/>
            <w:vMerge/>
          </w:tcPr>
          <w:p w:rsidR="00542974" w:rsidRPr="00A61AB8" w:rsidRDefault="00542974" w:rsidP="00891126">
            <w:pPr>
              <w:autoSpaceDE w:val="0"/>
              <w:autoSpaceDN w:val="0"/>
              <w:adjustRightInd w:val="0"/>
              <w:spacing w:line="276" w:lineRule="auto"/>
              <w:rPr>
                <w:rFonts w:cs="Times New Roman"/>
                <w:color w:val="000000"/>
                <w:sz w:val="18"/>
                <w:szCs w:val="18"/>
              </w:rPr>
            </w:pPr>
          </w:p>
        </w:tc>
        <w:tc>
          <w:tcPr>
            <w:tcW w:w="1622" w:type="pct"/>
          </w:tcPr>
          <w:p w:rsidR="00542974" w:rsidRPr="00A61AB8" w:rsidRDefault="00542974"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Indiferente</w:t>
            </w:r>
          </w:p>
        </w:tc>
        <w:tc>
          <w:tcPr>
            <w:tcW w:w="864"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44</w:t>
            </w:r>
          </w:p>
        </w:tc>
        <w:tc>
          <w:tcPr>
            <w:tcW w:w="850"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21,5</w:t>
            </w:r>
          </w:p>
        </w:tc>
        <w:tc>
          <w:tcPr>
            <w:tcW w:w="1502"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56,6</w:t>
            </w:r>
          </w:p>
        </w:tc>
      </w:tr>
      <w:tr w:rsidR="00542974" w:rsidRPr="00542974" w:rsidTr="00542974">
        <w:tc>
          <w:tcPr>
            <w:tcW w:w="162" w:type="pct"/>
            <w:vMerge/>
          </w:tcPr>
          <w:p w:rsidR="00542974" w:rsidRPr="00A61AB8" w:rsidRDefault="00542974" w:rsidP="00891126">
            <w:pPr>
              <w:autoSpaceDE w:val="0"/>
              <w:autoSpaceDN w:val="0"/>
              <w:adjustRightInd w:val="0"/>
              <w:spacing w:line="276" w:lineRule="auto"/>
              <w:rPr>
                <w:rFonts w:cs="Times New Roman"/>
                <w:color w:val="000000"/>
                <w:sz w:val="18"/>
                <w:szCs w:val="18"/>
              </w:rPr>
            </w:pPr>
          </w:p>
        </w:tc>
        <w:tc>
          <w:tcPr>
            <w:tcW w:w="1622" w:type="pct"/>
          </w:tcPr>
          <w:p w:rsidR="00542974" w:rsidRPr="00A61AB8" w:rsidRDefault="00542974"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De acuerdo</w:t>
            </w:r>
          </w:p>
        </w:tc>
        <w:tc>
          <w:tcPr>
            <w:tcW w:w="864"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42</w:t>
            </w:r>
          </w:p>
        </w:tc>
        <w:tc>
          <w:tcPr>
            <w:tcW w:w="850"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20,5</w:t>
            </w:r>
          </w:p>
        </w:tc>
        <w:tc>
          <w:tcPr>
            <w:tcW w:w="1502"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77,1</w:t>
            </w:r>
          </w:p>
        </w:tc>
      </w:tr>
      <w:tr w:rsidR="00542974" w:rsidRPr="00542974" w:rsidTr="00542974">
        <w:tc>
          <w:tcPr>
            <w:tcW w:w="162" w:type="pct"/>
            <w:vMerge/>
          </w:tcPr>
          <w:p w:rsidR="00542974" w:rsidRPr="00A61AB8" w:rsidRDefault="00542974" w:rsidP="00891126">
            <w:pPr>
              <w:autoSpaceDE w:val="0"/>
              <w:autoSpaceDN w:val="0"/>
              <w:adjustRightInd w:val="0"/>
              <w:spacing w:line="276" w:lineRule="auto"/>
              <w:rPr>
                <w:rFonts w:cs="Times New Roman"/>
                <w:color w:val="000000"/>
                <w:sz w:val="18"/>
                <w:szCs w:val="18"/>
              </w:rPr>
            </w:pPr>
          </w:p>
        </w:tc>
        <w:tc>
          <w:tcPr>
            <w:tcW w:w="1622" w:type="pct"/>
          </w:tcPr>
          <w:p w:rsidR="00542974" w:rsidRPr="00A61AB8" w:rsidRDefault="00542974" w:rsidP="00891126">
            <w:pPr>
              <w:autoSpaceDE w:val="0"/>
              <w:autoSpaceDN w:val="0"/>
              <w:adjustRightInd w:val="0"/>
              <w:spacing w:line="276" w:lineRule="auto"/>
              <w:ind w:left="60" w:right="60"/>
              <w:rPr>
                <w:rFonts w:cs="Times New Roman"/>
                <w:color w:val="000000"/>
                <w:sz w:val="18"/>
                <w:szCs w:val="18"/>
              </w:rPr>
            </w:pPr>
            <w:r w:rsidRPr="00A61AB8">
              <w:rPr>
                <w:rFonts w:cs="Times New Roman"/>
                <w:color w:val="000000"/>
                <w:sz w:val="18"/>
                <w:szCs w:val="18"/>
              </w:rPr>
              <w:t>Totalmente de acuerdo</w:t>
            </w:r>
          </w:p>
        </w:tc>
        <w:tc>
          <w:tcPr>
            <w:tcW w:w="864"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47</w:t>
            </w:r>
          </w:p>
        </w:tc>
        <w:tc>
          <w:tcPr>
            <w:tcW w:w="850"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22,9</w:t>
            </w:r>
          </w:p>
        </w:tc>
        <w:tc>
          <w:tcPr>
            <w:tcW w:w="1502" w:type="pct"/>
          </w:tcPr>
          <w:p w:rsidR="00542974" w:rsidRPr="00A61AB8" w:rsidRDefault="00542974" w:rsidP="00891126">
            <w:pPr>
              <w:autoSpaceDE w:val="0"/>
              <w:autoSpaceDN w:val="0"/>
              <w:adjustRightInd w:val="0"/>
              <w:spacing w:line="276" w:lineRule="auto"/>
              <w:ind w:left="60" w:right="60"/>
              <w:jc w:val="right"/>
              <w:rPr>
                <w:rFonts w:cs="Times New Roman"/>
                <w:color w:val="000000"/>
                <w:sz w:val="18"/>
                <w:szCs w:val="18"/>
              </w:rPr>
            </w:pPr>
            <w:r w:rsidRPr="00A61AB8">
              <w:rPr>
                <w:rFonts w:cs="Times New Roman"/>
                <w:color w:val="000000"/>
                <w:sz w:val="18"/>
                <w:szCs w:val="18"/>
              </w:rPr>
              <w:t>100,0</w:t>
            </w:r>
          </w:p>
        </w:tc>
      </w:tr>
      <w:tr w:rsidR="00542974" w:rsidRPr="00542974" w:rsidTr="00542974">
        <w:tc>
          <w:tcPr>
            <w:tcW w:w="162" w:type="pct"/>
            <w:vMerge/>
          </w:tcPr>
          <w:p w:rsidR="00542974" w:rsidRPr="00A61AB8" w:rsidRDefault="00542974" w:rsidP="00891126">
            <w:pPr>
              <w:autoSpaceDE w:val="0"/>
              <w:autoSpaceDN w:val="0"/>
              <w:adjustRightInd w:val="0"/>
              <w:spacing w:line="276" w:lineRule="auto"/>
              <w:rPr>
                <w:rFonts w:cs="Times New Roman"/>
                <w:color w:val="000000"/>
                <w:sz w:val="18"/>
                <w:szCs w:val="18"/>
              </w:rPr>
            </w:pPr>
          </w:p>
        </w:tc>
        <w:tc>
          <w:tcPr>
            <w:tcW w:w="1622" w:type="pct"/>
          </w:tcPr>
          <w:p w:rsidR="00542974" w:rsidRPr="001A5096" w:rsidRDefault="00542974" w:rsidP="00891126">
            <w:pPr>
              <w:autoSpaceDE w:val="0"/>
              <w:autoSpaceDN w:val="0"/>
              <w:adjustRightInd w:val="0"/>
              <w:spacing w:line="276" w:lineRule="auto"/>
              <w:ind w:left="60" w:right="60"/>
              <w:rPr>
                <w:rFonts w:cs="Times New Roman"/>
                <w:b/>
                <w:color w:val="000000"/>
                <w:sz w:val="18"/>
                <w:szCs w:val="18"/>
              </w:rPr>
            </w:pPr>
            <w:r w:rsidRPr="001A5096">
              <w:rPr>
                <w:rFonts w:cs="Times New Roman"/>
                <w:b/>
                <w:color w:val="000000"/>
                <w:sz w:val="18"/>
                <w:szCs w:val="18"/>
              </w:rPr>
              <w:t>Total</w:t>
            </w:r>
          </w:p>
        </w:tc>
        <w:tc>
          <w:tcPr>
            <w:tcW w:w="864" w:type="pct"/>
          </w:tcPr>
          <w:p w:rsidR="00542974" w:rsidRPr="001A5096" w:rsidRDefault="00542974" w:rsidP="00891126">
            <w:pPr>
              <w:autoSpaceDE w:val="0"/>
              <w:autoSpaceDN w:val="0"/>
              <w:adjustRightInd w:val="0"/>
              <w:spacing w:line="276" w:lineRule="auto"/>
              <w:ind w:left="60" w:right="60"/>
              <w:jc w:val="right"/>
              <w:rPr>
                <w:rFonts w:cs="Times New Roman"/>
                <w:b/>
                <w:color w:val="000000"/>
                <w:sz w:val="18"/>
                <w:szCs w:val="18"/>
              </w:rPr>
            </w:pPr>
            <w:r w:rsidRPr="001A5096">
              <w:rPr>
                <w:rFonts w:cs="Times New Roman"/>
                <w:b/>
                <w:color w:val="000000"/>
                <w:sz w:val="18"/>
                <w:szCs w:val="18"/>
              </w:rPr>
              <w:t>205</w:t>
            </w:r>
          </w:p>
        </w:tc>
        <w:tc>
          <w:tcPr>
            <w:tcW w:w="850" w:type="pct"/>
          </w:tcPr>
          <w:p w:rsidR="00542974" w:rsidRPr="001A5096" w:rsidRDefault="00542974" w:rsidP="00891126">
            <w:pPr>
              <w:autoSpaceDE w:val="0"/>
              <w:autoSpaceDN w:val="0"/>
              <w:adjustRightInd w:val="0"/>
              <w:spacing w:line="276" w:lineRule="auto"/>
              <w:ind w:left="60" w:right="60"/>
              <w:jc w:val="right"/>
              <w:rPr>
                <w:rFonts w:cs="Times New Roman"/>
                <w:b/>
                <w:color w:val="000000"/>
                <w:sz w:val="18"/>
                <w:szCs w:val="18"/>
              </w:rPr>
            </w:pPr>
            <w:r w:rsidRPr="001A5096">
              <w:rPr>
                <w:rFonts w:cs="Times New Roman"/>
                <w:b/>
                <w:color w:val="000000"/>
                <w:sz w:val="18"/>
                <w:szCs w:val="18"/>
              </w:rPr>
              <w:t>100,0</w:t>
            </w:r>
          </w:p>
        </w:tc>
        <w:tc>
          <w:tcPr>
            <w:tcW w:w="1502" w:type="pct"/>
          </w:tcPr>
          <w:p w:rsidR="00542974" w:rsidRPr="001A5096" w:rsidRDefault="00542974" w:rsidP="00891126">
            <w:pPr>
              <w:autoSpaceDE w:val="0"/>
              <w:autoSpaceDN w:val="0"/>
              <w:adjustRightInd w:val="0"/>
              <w:spacing w:line="276" w:lineRule="auto"/>
              <w:rPr>
                <w:rFonts w:cs="Times New Roman"/>
                <w:b/>
                <w:sz w:val="24"/>
                <w:szCs w:val="24"/>
              </w:rPr>
            </w:pPr>
          </w:p>
        </w:tc>
      </w:tr>
      <w:tr w:rsidR="001A5096" w:rsidRPr="00542974" w:rsidTr="001A5096">
        <w:trPr>
          <w:cnfStyle w:val="010000000000" w:firstRow="0" w:lastRow="1" w:firstColumn="0" w:lastColumn="0" w:oddVBand="0" w:evenVBand="0" w:oddHBand="0" w:evenHBand="0" w:firstRowFirstColumn="0" w:firstRowLastColumn="0" w:lastRowFirstColumn="0" w:lastRowLastColumn="0"/>
        </w:trPr>
        <w:tc>
          <w:tcPr>
            <w:tcW w:w="5000" w:type="pct"/>
            <w:gridSpan w:val="5"/>
          </w:tcPr>
          <w:p w:rsidR="001A5096" w:rsidRPr="00A61AB8" w:rsidRDefault="001A5096" w:rsidP="00891126">
            <w:pPr>
              <w:autoSpaceDE w:val="0"/>
              <w:autoSpaceDN w:val="0"/>
              <w:adjustRightInd w:val="0"/>
              <w:spacing w:line="276" w:lineRule="auto"/>
              <w:rPr>
                <w:rFonts w:cs="Times New Roman"/>
                <w:sz w:val="24"/>
                <w:szCs w:val="24"/>
              </w:rPr>
            </w:pPr>
            <w:r>
              <w:rPr>
                <w:rFonts w:cs="Times New Roman"/>
                <w:color w:val="000000"/>
                <w:sz w:val="18"/>
                <w:szCs w:val="18"/>
              </w:rPr>
              <w:t xml:space="preserve">Fuente: </w:t>
            </w:r>
            <w:r w:rsidRPr="0057150B">
              <w:rPr>
                <w:rFonts w:cs="Times New Roman"/>
                <w:b w:val="0"/>
                <w:color w:val="000000"/>
                <w:sz w:val="18"/>
                <w:szCs w:val="18"/>
              </w:rPr>
              <w:t>grupo objetivo</w:t>
            </w:r>
          </w:p>
        </w:tc>
      </w:tr>
    </w:tbl>
    <w:p w:rsidR="00A61AB8" w:rsidRDefault="005F5A5A" w:rsidP="00891126">
      <w:pPr>
        <w:autoSpaceDE w:val="0"/>
        <w:autoSpaceDN w:val="0"/>
        <w:adjustRightInd w:val="0"/>
        <w:spacing w:after="0" w:line="276" w:lineRule="auto"/>
        <w:jc w:val="both"/>
        <w:rPr>
          <w:rFonts w:cs="Times New Roman"/>
          <w:sz w:val="24"/>
          <w:szCs w:val="24"/>
        </w:rPr>
      </w:pPr>
      <w:r w:rsidRPr="005F5A5A">
        <w:rPr>
          <w:rFonts w:cs="Times New Roman"/>
          <w:sz w:val="24"/>
          <w:szCs w:val="24"/>
        </w:rPr>
        <w:t xml:space="preserve">El porcentaje de indiferencia respecto a sentir orgullo por la </w:t>
      </w:r>
      <w:r w:rsidR="00600330">
        <w:rPr>
          <w:rFonts w:cs="Times New Roman"/>
          <w:sz w:val="24"/>
          <w:szCs w:val="24"/>
        </w:rPr>
        <w:t>c</w:t>
      </w:r>
      <w:r w:rsidRPr="005F5A5A">
        <w:rPr>
          <w:rFonts w:cs="Times New Roman"/>
          <w:sz w:val="24"/>
          <w:szCs w:val="24"/>
        </w:rPr>
        <w:t>arrera que estudia es del 21,5%, el n</w:t>
      </w:r>
      <w:r>
        <w:rPr>
          <w:rFonts w:cs="Times New Roman"/>
          <w:sz w:val="24"/>
          <w:szCs w:val="24"/>
        </w:rPr>
        <w:t xml:space="preserve">úmero de estudiantes en </w:t>
      </w:r>
      <w:r w:rsidR="00600330">
        <w:rPr>
          <w:rFonts w:cs="Times New Roman"/>
          <w:sz w:val="24"/>
          <w:szCs w:val="24"/>
        </w:rPr>
        <w:t>in</w:t>
      </w:r>
      <w:r>
        <w:rPr>
          <w:rFonts w:cs="Times New Roman"/>
          <w:sz w:val="24"/>
          <w:szCs w:val="24"/>
        </w:rPr>
        <w:t>cómodos en la carrera es 35,1%</w:t>
      </w:r>
      <w:r w:rsidR="00600330">
        <w:rPr>
          <w:rFonts w:cs="Times New Roman"/>
          <w:sz w:val="24"/>
          <w:szCs w:val="24"/>
        </w:rPr>
        <w:t>, casi tres puntos porcentuales (2,9) respecto de los datos anteriores</w:t>
      </w:r>
      <w:r w:rsidR="000D3D47">
        <w:rPr>
          <w:rFonts w:cs="Times New Roman"/>
          <w:sz w:val="24"/>
          <w:szCs w:val="24"/>
        </w:rPr>
        <w:t xml:space="preserve"> (ver tabla 2)</w:t>
      </w:r>
      <w:r w:rsidR="00914FE4">
        <w:rPr>
          <w:rFonts w:cs="Times New Roman"/>
          <w:sz w:val="24"/>
          <w:szCs w:val="24"/>
        </w:rPr>
        <w:t xml:space="preserve">, aunque la tendencia es positiva (43,4%), los resultados hacen un llamado de atención, ¡existe un considerable número de estudiantes de la carrera de Administración de Empresas, insatisfechos!, aunque el propósito de este trabajo es diferente respecto </w:t>
      </w:r>
      <w:r w:rsidR="00FB05B5">
        <w:rPr>
          <w:rFonts w:cs="Times New Roman"/>
          <w:sz w:val="24"/>
          <w:szCs w:val="24"/>
        </w:rPr>
        <w:t xml:space="preserve">de la satisfacción, expectativas y percepciones, no </w:t>
      </w:r>
      <w:r w:rsidR="002A1F1F">
        <w:rPr>
          <w:rFonts w:cs="Times New Roman"/>
          <w:sz w:val="24"/>
          <w:szCs w:val="24"/>
        </w:rPr>
        <w:t>está</w:t>
      </w:r>
      <w:r w:rsidR="00FB05B5">
        <w:rPr>
          <w:rFonts w:cs="Times New Roman"/>
          <w:sz w:val="24"/>
          <w:szCs w:val="24"/>
        </w:rPr>
        <w:t xml:space="preserve"> de más indicar que los clientes de una universidad son los estudiantes.</w:t>
      </w:r>
    </w:p>
    <w:p w:rsidR="0068717B" w:rsidRPr="0068717B" w:rsidRDefault="0068717B" w:rsidP="00891126">
      <w:pPr>
        <w:autoSpaceDE w:val="0"/>
        <w:autoSpaceDN w:val="0"/>
        <w:adjustRightInd w:val="0"/>
        <w:spacing w:after="0" w:line="276" w:lineRule="auto"/>
        <w:rPr>
          <w:rFonts w:cs="Times New Roman"/>
          <w:sz w:val="24"/>
          <w:szCs w:val="24"/>
        </w:rPr>
      </w:pPr>
    </w:p>
    <w:p w:rsidR="00B86AF4" w:rsidRDefault="00B86AF4" w:rsidP="00891126">
      <w:pPr>
        <w:pStyle w:val="Descripcin"/>
        <w:spacing w:line="276" w:lineRule="auto"/>
      </w:pPr>
      <w:r>
        <w:t xml:space="preserve">Tabla </w:t>
      </w:r>
      <w:r w:rsidR="00CA344C">
        <w:rPr>
          <w:noProof/>
        </w:rPr>
        <w:fldChar w:fldCharType="begin"/>
      </w:r>
      <w:r w:rsidR="00CA344C">
        <w:rPr>
          <w:noProof/>
        </w:rPr>
        <w:instrText xml:space="preserve"> SEQ Tabla \* ARABIC </w:instrText>
      </w:r>
      <w:r w:rsidR="00CA344C">
        <w:rPr>
          <w:noProof/>
        </w:rPr>
        <w:fldChar w:fldCharType="separate"/>
      </w:r>
      <w:r w:rsidR="00B71B71">
        <w:rPr>
          <w:noProof/>
        </w:rPr>
        <w:t>4</w:t>
      </w:r>
      <w:r w:rsidR="00CA344C">
        <w:rPr>
          <w:noProof/>
        </w:rPr>
        <w:fldChar w:fldCharType="end"/>
      </w:r>
      <w:r>
        <w:t xml:space="preserve">. </w:t>
      </w:r>
    </w:p>
    <w:p w:rsidR="00B86AF4" w:rsidRDefault="00B86AF4" w:rsidP="00891126">
      <w:pPr>
        <w:pStyle w:val="Descripcin"/>
        <w:spacing w:line="276" w:lineRule="auto"/>
      </w:pPr>
      <w:r w:rsidRPr="00900CBF">
        <w:t>En general, percibo un ambiente estudiantil de respeto y libre de acoso escolar.</w:t>
      </w:r>
    </w:p>
    <w:p w:rsidR="00B86AF4" w:rsidRPr="00B86AF4" w:rsidRDefault="00B86AF4" w:rsidP="00891126">
      <w:pPr>
        <w:spacing w:after="0" w:line="276" w:lineRule="auto"/>
      </w:pPr>
    </w:p>
    <w:tbl>
      <w:tblPr>
        <w:tblStyle w:val="Tablanormal2"/>
        <w:tblW w:w="5000" w:type="pct"/>
        <w:tblLook w:val="0660" w:firstRow="1" w:lastRow="1" w:firstColumn="0" w:lastColumn="0" w:noHBand="1" w:noVBand="1"/>
      </w:tblPr>
      <w:tblGrid>
        <w:gridCol w:w="221"/>
        <w:gridCol w:w="924"/>
        <w:gridCol w:w="946"/>
        <w:gridCol w:w="931"/>
        <w:gridCol w:w="947"/>
      </w:tblGrid>
      <w:tr w:rsidR="00B86AF4" w:rsidRPr="0068717B" w:rsidTr="0057150B">
        <w:trPr>
          <w:cnfStyle w:val="100000000000" w:firstRow="1" w:lastRow="0" w:firstColumn="0" w:lastColumn="0" w:oddVBand="0" w:evenVBand="0" w:oddHBand="0" w:evenHBand="0" w:firstRowFirstColumn="0" w:firstRowLastColumn="0" w:lastRowFirstColumn="0" w:lastRowLastColumn="0"/>
        </w:trPr>
        <w:tc>
          <w:tcPr>
            <w:tcW w:w="2018" w:type="pct"/>
            <w:gridSpan w:val="2"/>
          </w:tcPr>
          <w:p w:rsidR="00B86AF4" w:rsidRPr="0068717B" w:rsidRDefault="00B86AF4" w:rsidP="00891126">
            <w:pPr>
              <w:autoSpaceDE w:val="0"/>
              <w:autoSpaceDN w:val="0"/>
              <w:adjustRightInd w:val="0"/>
              <w:spacing w:line="276" w:lineRule="auto"/>
              <w:rPr>
                <w:rFonts w:cs="Times New Roman"/>
                <w:sz w:val="24"/>
                <w:szCs w:val="24"/>
              </w:rPr>
            </w:pPr>
          </w:p>
        </w:tc>
        <w:tc>
          <w:tcPr>
            <w:tcW w:w="786" w:type="pct"/>
          </w:tcPr>
          <w:p w:rsidR="00B86AF4" w:rsidRPr="0068717B" w:rsidRDefault="00B86AF4" w:rsidP="00891126">
            <w:pPr>
              <w:autoSpaceDE w:val="0"/>
              <w:autoSpaceDN w:val="0"/>
              <w:adjustRightInd w:val="0"/>
              <w:spacing w:line="276" w:lineRule="auto"/>
              <w:ind w:left="60" w:right="60"/>
              <w:jc w:val="center"/>
              <w:rPr>
                <w:rFonts w:cs="Times New Roman"/>
                <w:color w:val="000000"/>
                <w:sz w:val="18"/>
                <w:szCs w:val="18"/>
                <w:lang w:val="en-US"/>
              </w:rPr>
            </w:pPr>
            <w:r w:rsidRPr="0068717B">
              <w:rPr>
                <w:rFonts w:cs="Times New Roman"/>
                <w:color w:val="000000"/>
                <w:sz w:val="18"/>
                <w:szCs w:val="18"/>
              </w:rPr>
              <w:t>Frecuencia</w:t>
            </w:r>
          </w:p>
        </w:tc>
        <w:tc>
          <w:tcPr>
            <w:tcW w:w="772" w:type="pct"/>
          </w:tcPr>
          <w:p w:rsidR="00B86AF4" w:rsidRPr="0068717B" w:rsidRDefault="00B86AF4" w:rsidP="00891126">
            <w:pPr>
              <w:autoSpaceDE w:val="0"/>
              <w:autoSpaceDN w:val="0"/>
              <w:adjustRightInd w:val="0"/>
              <w:spacing w:line="276" w:lineRule="auto"/>
              <w:ind w:left="60" w:right="60"/>
              <w:jc w:val="center"/>
              <w:rPr>
                <w:rFonts w:cs="Times New Roman"/>
                <w:color w:val="000000"/>
                <w:sz w:val="18"/>
                <w:szCs w:val="18"/>
                <w:lang w:val="en-US"/>
              </w:rPr>
            </w:pPr>
            <w:r w:rsidRPr="0068717B">
              <w:rPr>
                <w:rFonts w:cs="Times New Roman"/>
                <w:color w:val="000000"/>
                <w:sz w:val="18"/>
                <w:szCs w:val="18"/>
              </w:rPr>
              <w:t>Porcentaje</w:t>
            </w:r>
          </w:p>
        </w:tc>
        <w:tc>
          <w:tcPr>
            <w:tcW w:w="1424" w:type="pct"/>
          </w:tcPr>
          <w:p w:rsidR="00B86AF4" w:rsidRPr="0068717B" w:rsidRDefault="00B86AF4" w:rsidP="00891126">
            <w:pPr>
              <w:autoSpaceDE w:val="0"/>
              <w:autoSpaceDN w:val="0"/>
              <w:adjustRightInd w:val="0"/>
              <w:spacing w:line="276" w:lineRule="auto"/>
              <w:ind w:left="60" w:right="60"/>
              <w:jc w:val="center"/>
              <w:rPr>
                <w:rFonts w:cs="Times New Roman"/>
                <w:color w:val="000000"/>
                <w:sz w:val="18"/>
                <w:szCs w:val="18"/>
                <w:lang w:val="en-US"/>
              </w:rPr>
            </w:pPr>
            <w:r w:rsidRPr="0068717B">
              <w:rPr>
                <w:rFonts w:cs="Times New Roman"/>
                <w:color w:val="000000"/>
                <w:sz w:val="18"/>
                <w:szCs w:val="18"/>
              </w:rPr>
              <w:t>Porcentaje</w:t>
            </w:r>
            <w:r w:rsidRPr="0068717B">
              <w:rPr>
                <w:rFonts w:cs="Times New Roman"/>
                <w:color w:val="000000"/>
                <w:sz w:val="18"/>
                <w:szCs w:val="18"/>
                <w:lang w:val="en-US"/>
              </w:rPr>
              <w:t xml:space="preserve"> </w:t>
            </w:r>
            <w:r w:rsidRPr="0068717B">
              <w:rPr>
                <w:rFonts w:cs="Times New Roman"/>
                <w:color w:val="000000"/>
                <w:sz w:val="18"/>
                <w:szCs w:val="18"/>
              </w:rPr>
              <w:t>acumulado</w:t>
            </w:r>
          </w:p>
        </w:tc>
      </w:tr>
      <w:tr w:rsidR="00B86AF4" w:rsidRPr="0068717B" w:rsidTr="0057150B">
        <w:tc>
          <w:tcPr>
            <w:tcW w:w="474" w:type="pct"/>
            <w:vMerge w:val="restart"/>
          </w:tcPr>
          <w:p w:rsidR="00B86AF4" w:rsidRPr="0068717B" w:rsidRDefault="00B86AF4" w:rsidP="00891126">
            <w:pPr>
              <w:autoSpaceDE w:val="0"/>
              <w:autoSpaceDN w:val="0"/>
              <w:adjustRightInd w:val="0"/>
              <w:spacing w:line="276" w:lineRule="auto"/>
              <w:ind w:right="60"/>
              <w:rPr>
                <w:rFonts w:cs="Times New Roman"/>
                <w:color w:val="000000"/>
                <w:sz w:val="18"/>
                <w:szCs w:val="18"/>
                <w:lang w:val="en-US"/>
              </w:rPr>
            </w:pPr>
          </w:p>
        </w:tc>
        <w:tc>
          <w:tcPr>
            <w:tcW w:w="1544" w:type="pct"/>
          </w:tcPr>
          <w:p w:rsidR="00B86AF4" w:rsidRPr="0068717B" w:rsidRDefault="00B86AF4" w:rsidP="00891126">
            <w:pPr>
              <w:autoSpaceDE w:val="0"/>
              <w:autoSpaceDN w:val="0"/>
              <w:adjustRightInd w:val="0"/>
              <w:spacing w:line="276" w:lineRule="auto"/>
              <w:ind w:left="60" w:right="60"/>
              <w:rPr>
                <w:rFonts w:cs="Times New Roman"/>
                <w:color w:val="000000"/>
                <w:sz w:val="18"/>
                <w:szCs w:val="18"/>
              </w:rPr>
            </w:pPr>
            <w:r w:rsidRPr="0068717B">
              <w:rPr>
                <w:rFonts w:cs="Times New Roman"/>
                <w:color w:val="000000"/>
                <w:sz w:val="18"/>
                <w:szCs w:val="18"/>
              </w:rPr>
              <w:t>Totalmente en desacuerdo</w:t>
            </w:r>
          </w:p>
        </w:tc>
        <w:tc>
          <w:tcPr>
            <w:tcW w:w="786"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33</w:t>
            </w:r>
          </w:p>
        </w:tc>
        <w:tc>
          <w:tcPr>
            <w:tcW w:w="772"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16,1</w:t>
            </w:r>
          </w:p>
        </w:tc>
        <w:tc>
          <w:tcPr>
            <w:tcW w:w="1424"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16,1</w:t>
            </w:r>
          </w:p>
        </w:tc>
      </w:tr>
      <w:tr w:rsidR="00B86AF4" w:rsidRPr="0068717B" w:rsidTr="0057150B">
        <w:tc>
          <w:tcPr>
            <w:tcW w:w="474" w:type="pct"/>
            <w:vMerge/>
          </w:tcPr>
          <w:p w:rsidR="00B86AF4" w:rsidRPr="0068717B" w:rsidRDefault="00B86AF4" w:rsidP="00891126">
            <w:pPr>
              <w:autoSpaceDE w:val="0"/>
              <w:autoSpaceDN w:val="0"/>
              <w:adjustRightInd w:val="0"/>
              <w:spacing w:line="276" w:lineRule="auto"/>
              <w:rPr>
                <w:rFonts w:cs="Times New Roman"/>
                <w:color w:val="000000"/>
                <w:sz w:val="18"/>
                <w:szCs w:val="18"/>
                <w:lang w:val="en-US"/>
              </w:rPr>
            </w:pPr>
          </w:p>
        </w:tc>
        <w:tc>
          <w:tcPr>
            <w:tcW w:w="1544" w:type="pct"/>
          </w:tcPr>
          <w:p w:rsidR="00B86AF4" w:rsidRPr="0068717B" w:rsidRDefault="00B86AF4" w:rsidP="00891126">
            <w:pPr>
              <w:autoSpaceDE w:val="0"/>
              <w:autoSpaceDN w:val="0"/>
              <w:adjustRightInd w:val="0"/>
              <w:spacing w:line="276" w:lineRule="auto"/>
              <w:ind w:left="60" w:right="60"/>
              <w:rPr>
                <w:rFonts w:cs="Times New Roman"/>
                <w:color w:val="000000"/>
                <w:sz w:val="18"/>
                <w:szCs w:val="18"/>
              </w:rPr>
            </w:pPr>
            <w:r w:rsidRPr="0068717B">
              <w:rPr>
                <w:rFonts w:cs="Times New Roman"/>
                <w:color w:val="000000"/>
                <w:sz w:val="18"/>
                <w:szCs w:val="18"/>
              </w:rPr>
              <w:t>En desacuerdo</w:t>
            </w:r>
          </w:p>
        </w:tc>
        <w:tc>
          <w:tcPr>
            <w:tcW w:w="786"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35</w:t>
            </w:r>
          </w:p>
        </w:tc>
        <w:tc>
          <w:tcPr>
            <w:tcW w:w="772"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17,1</w:t>
            </w:r>
          </w:p>
        </w:tc>
        <w:tc>
          <w:tcPr>
            <w:tcW w:w="1424"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33,2</w:t>
            </w:r>
          </w:p>
        </w:tc>
      </w:tr>
      <w:tr w:rsidR="00B86AF4" w:rsidRPr="0068717B" w:rsidTr="0057150B">
        <w:tc>
          <w:tcPr>
            <w:tcW w:w="474" w:type="pct"/>
            <w:vMerge/>
          </w:tcPr>
          <w:p w:rsidR="00B86AF4" w:rsidRPr="0068717B" w:rsidRDefault="00B86AF4" w:rsidP="00891126">
            <w:pPr>
              <w:autoSpaceDE w:val="0"/>
              <w:autoSpaceDN w:val="0"/>
              <w:adjustRightInd w:val="0"/>
              <w:spacing w:line="276" w:lineRule="auto"/>
              <w:rPr>
                <w:rFonts w:cs="Times New Roman"/>
                <w:color w:val="000000"/>
                <w:sz w:val="18"/>
                <w:szCs w:val="18"/>
                <w:lang w:val="en-US"/>
              </w:rPr>
            </w:pPr>
          </w:p>
        </w:tc>
        <w:tc>
          <w:tcPr>
            <w:tcW w:w="1544" w:type="pct"/>
          </w:tcPr>
          <w:p w:rsidR="00B86AF4" w:rsidRPr="0068717B" w:rsidRDefault="00B86AF4" w:rsidP="00891126">
            <w:pPr>
              <w:autoSpaceDE w:val="0"/>
              <w:autoSpaceDN w:val="0"/>
              <w:adjustRightInd w:val="0"/>
              <w:spacing w:line="276" w:lineRule="auto"/>
              <w:ind w:left="60" w:right="60"/>
              <w:rPr>
                <w:rFonts w:cs="Times New Roman"/>
                <w:color w:val="000000"/>
                <w:sz w:val="18"/>
                <w:szCs w:val="18"/>
              </w:rPr>
            </w:pPr>
            <w:r w:rsidRPr="0068717B">
              <w:rPr>
                <w:rFonts w:cs="Times New Roman"/>
                <w:color w:val="000000"/>
                <w:sz w:val="18"/>
                <w:szCs w:val="18"/>
              </w:rPr>
              <w:t>Indiferente</w:t>
            </w:r>
          </w:p>
        </w:tc>
        <w:tc>
          <w:tcPr>
            <w:tcW w:w="786"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40</w:t>
            </w:r>
          </w:p>
        </w:tc>
        <w:tc>
          <w:tcPr>
            <w:tcW w:w="772"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19,5</w:t>
            </w:r>
          </w:p>
        </w:tc>
        <w:tc>
          <w:tcPr>
            <w:tcW w:w="1424"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52,7</w:t>
            </w:r>
          </w:p>
        </w:tc>
      </w:tr>
      <w:tr w:rsidR="00B86AF4" w:rsidRPr="0068717B" w:rsidTr="0057150B">
        <w:tc>
          <w:tcPr>
            <w:tcW w:w="474" w:type="pct"/>
            <w:vMerge/>
          </w:tcPr>
          <w:p w:rsidR="00B86AF4" w:rsidRPr="0068717B" w:rsidRDefault="00B86AF4" w:rsidP="00891126">
            <w:pPr>
              <w:autoSpaceDE w:val="0"/>
              <w:autoSpaceDN w:val="0"/>
              <w:adjustRightInd w:val="0"/>
              <w:spacing w:line="276" w:lineRule="auto"/>
              <w:rPr>
                <w:rFonts w:cs="Times New Roman"/>
                <w:color w:val="000000"/>
                <w:sz w:val="18"/>
                <w:szCs w:val="18"/>
                <w:lang w:val="en-US"/>
              </w:rPr>
            </w:pPr>
          </w:p>
        </w:tc>
        <w:tc>
          <w:tcPr>
            <w:tcW w:w="1544" w:type="pct"/>
          </w:tcPr>
          <w:p w:rsidR="00B86AF4" w:rsidRPr="0068717B" w:rsidRDefault="00B86AF4" w:rsidP="00891126">
            <w:pPr>
              <w:autoSpaceDE w:val="0"/>
              <w:autoSpaceDN w:val="0"/>
              <w:adjustRightInd w:val="0"/>
              <w:spacing w:line="276" w:lineRule="auto"/>
              <w:ind w:left="60" w:right="60"/>
              <w:rPr>
                <w:rFonts w:cs="Times New Roman"/>
                <w:color w:val="000000"/>
                <w:sz w:val="18"/>
                <w:szCs w:val="18"/>
              </w:rPr>
            </w:pPr>
            <w:r w:rsidRPr="0068717B">
              <w:rPr>
                <w:rFonts w:cs="Times New Roman"/>
                <w:color w:val="000000"/>
                <w:sz w:val="18"/>
                <w:szCs w:val="18"/>
              </w:rPr>
              <w:t>De acuerdo</w:t>
            </w:r>
          </w:p>
        </w:tc>
        <w:tc>
          <w:tcPr>
            <w:tcW w:w="786"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57</w:t>
            </w:r>
          </w:p>
        </w:tc>
        <w:tc>
          <w:tcPr>
            <w:tcW w:w="772"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27,8</w:t>
            </w:r>
          </w:p>
        </w:tc>
        <w:tc>
          <w:tcPr>
            <w:tcW w:w="1424"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80,5</w:t>
            </w:r>
          </w:p>
        </w:tc>
      </w:tr>
      <w:tr w:rsidR="00B86AF4" w:rsidRPr="0068717B" w:rsidTr="0057150B">
        <w:tc>
          <w:tcPr>
            <w:tcW w:w="474" w:type="pct"/>
            <w:vMerge/>
          </w:tcPr>
          <w:p w:rsidR="00B86AF4" w:rsidRPr="0068717B" w:rsidRDefault="00B86AF4" w:rsidP="00891126">
            <w:pPr>
              <w:autoSpaceDE w:val="0"/>
              <w:autoSpaceDN w:val="0"/>
              <w:adjustRightInd w:val="0"/>
              <w:spacing w:line="276" w:lineRule="auto"/>
              <w:rPr>
                <w:rFonts w:cs="Times New Roman"/>
                <w:color w:val="000000"/>
                <w:sz w:val="18"/>
                <w:szCs w:val="18"/>
                <w:lang w:val="en-US"/>
              </w:rPr>
            </w:pPr>
          </w:p>
        </w:tc>
        <w:tc>
          <w:tcPr>
            <w:tcW w:w="1544" w:type="pct"/>
          </w:tcPr>
          <w:p w:rsidR="00B86AF4" w:rsidRPr="0068717B" w:rsidRDefault="00B86AF4" w:rsidP="00891126">
            <w:pPr>
              <w:autoSpaceDE w:val="0"/>
              <w:autoSpaceDN w:val="0"/>
              <w:adjustRightInd w:val="0"/>
              <w:spacing w:line="276" w:lineRule="auto"/>
              <w:ind w:left="60" w:right="60"/>
              <w:rPr>
                <w:rFonts w:cs="Times New Roman"/>
                <w:color w:val="000000"/>
                <w:sz w:val="18"/>
                <w:szCs w:val="18"/>
              </w:rPr>
            </w:pPr>
            <w:r w:rsidRPr="0068717B">
              <w:rPr>
                <w:rFonts w:cs="Times New Roman"/>
                <w:color w:val="000000"/>
                <w:sz w:val="18"/>
                <w:szCs w:val="18"/>
              </w:rPr>
              <w:t>Totalmente de acuerdo</w:t>
            </w:r>
          </w:p>
        </w:tc>
        <w:tc>
          <w:tcPr>
            <w:tcW w:w="786"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40</w:t>
            </w:r>
          </w:p>
        </w:tc>
        <w:tc>
          <w:tcPr>
            <w:tcW w:w="772"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19,5</w:t>
            </w:r>
          </w:p>
        </w:tc>
        <w:tc>
          <w:tcPr>
            <w:tcW w:w="1424" w:type="pct"/>
          </w:tcPr>
          <w:p w:rsidR="00B86AF4" w:rsidRPr="0068717B" w:rsidRDefault="00B86AF4" w:rsidP="00891126">
            <w:pPr>
              <w:autoSpaceDE w:val="0"/>
              <w:autoSpaceDN w:val="0"/>
              <w:adjustRightInd w:val="0"/>
              <w:spacing w:line="276" w:lineRule="auto"/>
              <w:ind w:left="60" w:right="60"/>
              <w:jc w:val="right"/>
              <w:rPr>
                <w:rFonts w:cs="Times New Roman"/>
                <w:color w:val="000000"/>
                <w:sz w:val="18"/>
                <w:szCs w:val="18"/>
                <w:lang w:val="en-US"/>
              </w:rPr>
            </w:pPr>
            <w:r w:rsidRPr="0068717B">
              <w:rPr>
                <w:rFonts w:cs="Times New Roman"/>
                <w:color w:val="000000"/>
                <w:sz w:val="18"/>
                <w:szCs w:val="18"/>
                <w:lang w:val="en-US"/>
              </w:rPr>
              <w:t>100,0</w:t>
            </w:r>
          </w:p>
        </w:tc>
      </w:tr>
      <w:tr w:rsidR="00B86AF4" w:rsidRPr="0068717B" w:rsidTr="0057150B">
        <w:tc>
          <w:tcPr>
            <w:tcW w:w="474" w:type="pct"/>
            <w:vMerge/>
          </w:tcPr>
          <w:p w:rsidR="00B86AF4" w:rsidRPr="0068717B" w:rsidRDefault="00B86AF4" w:rsidP="00891126">
            <w:pPr>
              <w:autoSpaceDE w:val="0"/>
              <w:autoSpaceDN w:val="0"/>
              <w:adjustRightInd w:val="0"/>
              <w:spacing w:line="276" w:lineRule="auto"/>
              <w:rPr>
                <w:rFonts w:cs="Times New Roman"/>
                <w:color w:val="000000"/>
                <w:sz w:val="18"/>
                <w:szCs w:val="18"/>
                <w:lang w:val="en-US"/>
              </w:rPr>
            </w:pPr>
          </w:p>
        </w:tc>
        <w:tc>
          <w:tcPr>
            <w:tcW w:w="1544" w:type="pct"/>
          </w:tcPr>
          <w:p w:rsidR="00B86AF4" w:rsidRPr="00B97289" w:rsidRDefault="00B86AF4" w:rsidP="00891126">
            <w:pPr>
              <w:autoSpaceDE w:val="0"/>
              <w:autoSpaceDN w:val="0"/>
              <w:adjustRightInd w:val="0"/>
              <w:spacing w:line="276" w:lineRule="auto"/>
              <w:ind w:left="60" w:right="60"/>
              <w:rPr>
                <w:rFonts w:cs="Times New Roman"/>
                <w:b/>
                <w:color w:val="000000"/>
                <w:sz w:val="18"/>
                <w:szCs w:val="18"/>
                <w:lang w:val="en-US"/>
              </w:rPr>
            </w:pPr>
            <w:r w:rsidRPr="00B97289">
              <w:rPr>
                <w:rFonts w:cs="Times New Roman"/>
                <w:b/>
                <w:color w:val="000000"/>
                <w:sz w:val="18"/>
                <w:szCs w:val="18"/>
                <w:lang w:val="en-US"/>
              </w:rPr>
              <w:t>Total</w:t>
            </w:r>
          </w:p>
        </w:tc>
        <w:tc>
          <w:tcPr>
            <w:tcW w:w="786" w:type="pct"/>
          </w:tcPr>
          <w:p w:rsidR="00B86AF4" w:rsidRPr="00B97289" w:rsidRDefault="00B86AF4" w:rsidP="00891126">
            <w:pPr>
              <w:autoSpaceDE w:val="0"/>
              <w:autoSpaceDN w:val="0"/>
              <w:adjustRightInd w:val="0"/>
              <w:spacing w:line="276" w:lineRule="auto"/>
              <w:ind w:left="60" w:right="60"/>
              <w:jc w:val="right"/>
              <w:rPr>
                <w:rFonts w:cs="Times New Roman"/>
                <w:b/>
                <w:color w:val="000000"/>
                <w:sz w:val="18"/>
                <w:szCs w:val="18"/>
                <w:lang w:val="en-US"/>
              </w:rPr>
            </w:pPr>
            <w:r w:rsidRPr="00B97289">
              <w:rPr>
                <w:rFonts w:cs="Times New Roman"/>
                <w:b/>
                <w:color w:val="000000"/>
                <w:sz w:val="18"/>
                <w:szCs w:val="18"/>
                <w:lang w:val="en-US"/>
              </w:rPr>
              <w:t>205</w:t>
            </w:r>
          </w:p>
        </w:tc>
        <w:tc>
          <w:tcPr>
            <w:tcW w:w="772" w:type="pct"/>
          </w:tcPr>
          <w:p w:rsidR="00B86AF4" w:rsidRPr="00B97289" w:rsidRDefault="00B86AF4" w:rsidP="00891126">
            <w:pPr>
              <w:autoSpaceDE w:val="0"/>
              <w:autoSpaceDN w:val="0"/>
              <w:adjustRightInd w:val="0"/>
              <w:spacing w:line="276" w:lineRule="auto"/>
              <w:ind w:left="60" w:right="60"/>
              <w:jc w:val="right"/>
              <w:rPr>
                <w:rFonts w:cs="Times New Roman"/>
                <w:b/>
                <w:color w:val="000000"/>
                <w:sz w:val="18"/>
                <w:szCs w:val="18"/>
                <w:lang w:val="en-US"/>
              </w:rPr>
            </w:pPr>
            <w:r w:rsidRPr="00B97289">
              <w:rPr>
                <w:rFonts w:cs="Times New Roman"/>
                <w:b/>
                <w:color w:val="000000"/>
                <w:sz w:val="18"/>
                <w:szCs w:val="18"/>
                <w:lang w:val="en-US"/>
              </w:rPr>
              <w:t>100,0</w:t>
            </w:r>
          </w:p>
        </w:tc>
        <w:tc>
          <w:tcPr>
            <w:tcW w:w="1424" w:type="pct"/>
          </w:tcPr>
          <w:p w:rsidR="00B86AF4" w:rsidRPr="00B97289" w:rsidRDefault="00B86AF4" w:rsidP="00891126">
            <w:pPr>
              <w:autoSpaceDE w:val="0"/>
              <w:autoSpaceDN w:val="0"/>
              <w:adjustRightInd w:val="0"/>
              <w:spacing w:line="276" w:lineRule="auto"/>
              <w:rPr>
                <w:rFonts w:cs="Times New Roman"/>
                <w:b/>
                <w:sz w:val="24"/>
                <w:szCs w:val="24"/>
                <w:lang w:val="en-US"/>
              </w:rPr>
            </w:pPr>
          </w:p>
        </w:tc>
      </w:tr>
      <w:tr w:rsidR="0057150B" w:rsidRPr="0068717B" w:rsidTr="0057150B">
        <w:trPr>
          <w:cnfStyle w:val="010000000000" w:firstRow="0" w:lastRow="1" w:firstColumn="0" w:lastColumn="0" w:oddVBand="0" w:evenVBand="0" w:oddHBand="0" w:evenHBand="0" w:firstRowFirstColumn="0" w:firstRowLastColumn="0" w:lastRowFirstColumn="0" w:lastRowLastColumn="0"/>
        </w:trPr>
        <w:tc>
          <w:tcPr>
            <w:tcW w:w="5000" w:type="pct"/>
            <w:gridSpan w:val="5"/>
          </w:tcPr>
          <w:p w:rsidR="0057150B" w:rsidRPr="0068717B" w:rsidRDefault="0057150B" w:rsidP="00891126">
            <w:pPr>
              <w:autoSpaceDE w:val="0"/>
              <w:autoSpaceDN w:val="0"/>
              <w:adjustRightInd w:val="0"/>
              <w:spacing w:line="276" w:lineRule="auto"/>
              <w:rPr>
                <w:rFonts w:cs="Times New Roman"/>
                <w:sz w:val="24"/>
                <w:szCs w:val="24"/>
                <w:lang w:val="en-US"/>
              </w:rPr>
            </w:pPr>
            <w:r>
              <w:rPr>
                <w:rFonts w:cs="Times New Roman"/>
                <w:color w:val="000000"/>
                <w:sz w:val="18"/>
                <w:szCs w:val="18"/>
              </w:rPr>
              <w:t xml:space="preserve">Fuente: </w:t>
            </w:r>
            <w:r w:rsidRPr="0057150B">
              <w:rPr>
                <w:rFonts w:cs="Times New Roman"/>
                <w:b w:val="0"/>
                <w:color w:val="000000"/>
                <w:sz w:val="18"/>
                <w:szCs w:val="18"/>
              </w:rPr>
              <w:t xml:space="preserve">grupo </w:t>
            </w:r>
            <w:r>
              <w:rPr>
                <w:rFonts w:cs="Times New Roman"/>
                <w:b w:val="0"/>
                <w:color w:val="000000"/>
                <w:sz w:val="18"/>
                <w:szCs w:val="18"/>
              </w:rPr>
              <w:t>o</w:t>
            </w:r>
            <w:r w:rsidRPr="0057150B">
              <w:rPr>
                <w:rFonts w:cs="Times New Roman"/>
                <w:b w:val="0"/>
                <w:color w:val="000000"/>
                <w:sz w:val="18"/>
                <w:szCs w:val="18"/>
              </w:rPr>
              <w:t>bjetivo</w:t>
            </w:r>
          </w:p>
        </w:tc>
      </w:tr>
    </w:tbl>
    <w:p w:rsidR="0068717B" w:rsidRDefault="00A4238C" w:rsidP="00891126">
      <w:pPr>
        <w:autoSpaceDE w:val="0"/>
        <w:autoSpaceDN w:val="0"/>
        <w:adjustRightInd w:val="0"/>
        <w:spacing w:after="0" w:line="276" w:lineRule="auto"/>
        <w:jc w:val="both"/>
        <w:rPr>
          <w:rFonts w:cs="Times New Roman"/>
          <w:sz w:val="24"/>
          <w:szCs w:val="24"/>
        </w:rPr>
      </w:pPr>
      <w:r w:rsidRPr="00B66CB8">
        <w:rPr>
          <w:rFonts w:cs="Times New Roman"/>
          <w:noProof/>
          <w:sz w:val="24"/>
          <w:szCs w:val="24"/>
          <w:lang w:val="es-ES" w:eastAsia="es-ES"/>
        </w:rPr>
        <w:lastRenderedPageBreak/>
        <w:drawing>
          <wp:anchor distT="0" distB="0" distL="114300" distR="114300" simplePos="0" relativeHeight="251659264" behindDoc="1" locked="0" layoutInCell="1" allowOverlap="1">
            <wp:simplePos x="0" y="0"/>
            <wp:positionH relativeFrom="margin">
              <wp:align>center</wp:align>
            </wp:positionH>
            <wp:positionV relativeFrom="paragraph">
              <wp:posOffset>2767330</wp:posOffset>
            </wp:positionV>
            <wp:extent cx="4418330" cy="2484755"/>
            <wp:effectExtent l="0" t="0" r="1270" b="0"/>
            <wp:wrapTight wrapText="bothSides">
              <wp:wrapPolygon edited="0">
                <wp:start x="0" y="0"/>
                <wp:lineTo x="0" y="21363"/>
                <wp:lineTo x="21513" y="21363"/>
                <wp:lineTo x="21513" y="0"/>
                <wp:lineTo x="0" y="0"/>
              </wp:wrapPolygon>
            </wp:wrapTight>
            <wp:docPr id="5" name="Imagen 5" descr="C:\Users\JANETH B\Desktop\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H B\Desktop\Presentación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8330" cy="2484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66" w:rsidRPr="00F34866">
        <w:rPr>
          <w:rFonts w:cs="Times New Roman"/>
          <w:sz w:val="24"/>
          <w:szCs w:val="24"/>
        </w:rPr>
        <w:t>Pese a los datos negativos anteriores, el 47,3% percibe un ambiente estudiantil de r</w:t>
      </w:r>
      <w:r w:rsidR="00F34866">
        <w:rPr>
          <w:rFonts w:cs="Times New Roman"/>
          <w:sz w:val="24"/>
          <w:szCs w:val="24"/>
        </w:rPr>
        <w:t>espeto y libre de acoso escolar</w:t>
      </w:r>
      <w:r w:rsidR="00F34866" w:rsidRPr="00F34866">
        <w:rPr>
          <w:rFonts w:cs="Times New Roman"/>
          <w:sz w:val="24"/>
          <w:szCs w:val="24"/>
        </w:rPr>
        <w:t xml:space="preserve"> </w:t>
      </w:r>
      <w:r w:rsidR="00F34866" w:rsidRPr="00F34866">
        <w:rPr>
          <w:rFonts w:cs="Times New Roman"/>
          <w:b/>
          <w:sz w:val="24"/>
          <w:szCs w:val="24"/>
        </w:rPr>
        <w:t>(entiéndase por acoso escolar a actividades de discriminación</w:t>
      </w:r>
      <w:r w:rsidR="00020664">
        <w:rPr>
          <w:rFonts w:cs="Times New Roman"/>
          <w:b/>
          <w:sz w:val="24"/>
          <w:szCs w:val="24"/>
        </w:rPr>
        <w:t xml:space="preserve"> </w:t>
      </w:r>
      <w:r w:rsidR="00F34866" w:rsidRPr="00F34866">
        <w:rPr>
          <w:rFonts w:cs="Times New Roman"/>
          <w:b/>
          <w:sz w:val="24"/>
          <w:szCs w:val="24"/>
        </w:rPr>
        <w:t xml:space="preserve">originadas por </w:t>
      </w:r>
      <w:proofErr w:type="spellStart"/>
      <w:r w:rsidR="00F34866" w:rsidRPr="00F34866">
        <w:rPr>
          <w:rFonts w:cs="Times New Roman"/>
          <w:b/>
          <w:sz w:val="24"/>
          <w:szCs w:val="24"/>
        </w:rPr>
        <w:t>bullyng</w:t>
      </w:r>
      <w:proofErr w:type="spellEnd"/>
      <w:r w:rsidR="00F34866" w:rsidRPr="00F34866">
        <w:rPr>
          <w:rFonts w:cs="Times New Roman"/>
          <w:b/>
          <w:sz w:val="24"/>
          <w:szCs w:val="24"/>
        </w:rPr>
        <w:t xml:space="preserve"> entre compañeros)</w:t>
      </w:r>
      <w:r w:rsidR="00963D0D">
        <w:rPr>
          <w:rFonts w:cs="Times New Roman"/>
          <w:b/>
          <w:sz w:val="24"/>
          <w:szCs w:val="24"/>
        </w:rPr>
        <w:t xml:space="preserve">. </w:t>
      </w:r>
      <w:r w:rsidR="00963D0D">
        <w:rPr>
          <w:rFonts w:cs="Times New Roman"/>
          <w:sz w:val="24"/>
          <w:szCs w:val="24"/>
        </w:rPr>
        <w:t>La postura de indiferencia es elevada (19,5%)</w:t>
      </w:r>
      <w:r w:rsidR="008E3E93">
        <w:rPr>
          <w:rFonts w:cs="Times New Roman"/>
          <w:sz w:val="24"/>
          <w:szCs w:val="24"/>
        </w:rPr>
        <w:t>, finalmente un 32,2% no perciben un ambiente</w:t>
      </w:r>
      <w:r w:rsidR="001603D2">
        <w:rPr>
          <w:rFonts w:cs="Times New Roman"/>
          <w:sz w:val="24"/>
          <w:szCs w:val="24"/>
        </w:rPr>
        <w:t xml:space="preserve"> estudiantil</w:t>
      </w:r>
      <w:r w:rsidR="008E3E93">
        <w:rPr>
          <w:rFonts w:cs="Times New Roman"/>
          <w:sz w:val="24"/>
          <w:szCs w:val="24"/>
        </w:rPr>
        <w:t xml:space="preserve"> adecuado.</w:t>
      </w:r>
      <w:r w:rsidR="00DD1B8F">
        <w:rPr>
          <w:rFonts w:cs="Times New Roman"/>
          <w:sz w:val="24"/>
          <w:szCs w:val="24"/>
        </w:rPr>
        <w:t xml:space="preserve"> Al menos las normas d</w:t>
      </w:r>
      <w:r w:rsidR="001F2A14">
        <w:rPr>
          <w:rFonts w:cs="Times New Roman"/>
          <w:sz w:val="24"/>
          <w:szCs w:val="24"/>
        </w:rPr>
        <w:t>e convivencia se respetan dentro de la institución.</w:t>
      </w:r>
    </w:p>
    <w:p w:rsidR="00644C04" w:rsidRDefault="00644C04" w:rsidP="00891126">
      <w:pPr>
        <w:autoSpaceDE w:val="0"/>
        <w:autoSpaceDN w:val="0"/>
        <w:adjustRightInd w:val="0"/>
        <w:spacing w:after="0" w:line="276" w:lineRule="auto"/>
        <w:rPr>
          <w:rFonts w:cs="Times New Roman"/>
          <w:b/>
          <w:sz w:val="24"/>
          <w:szCs w:val="24"/>
        </w:rPr>
      </w:pPr>
    </w:p>
    <w:p w:rsidR="0068717B" w:rsidRDefault="002E28B5" w:rsidP="00891126">
      <w:pPr>
        <w:autoSpaceDE w:val="0"/>
        <w:autoSpaceDN w:val="0"/>
        <w:adjustRightInd w:val="0"/>
        <w:spacing w:after="0" w:line="276" w:lineRule="auto"/>
        <w:rPr>
          <w:rFonts w:cs="Times New Roman"/>
          <w:b/>
          <w:sz w:val="24"/>
          <w:szCs w:val="24"/>
        </w:rPr>
      </w:pPr>
      <w:r>
        <w:rPr>
          <w:rFonts w:cs="Times New Roman"/>
          <w:b/>
          <w:sz w:val="24"/>
          <w:szCs w:val="24"/>
        </w:rPr>
        <w:t>Los resultados del modelo.</w:t>
      </w:r>
    </w:p>
    <w:p w:rsidR="00500A4D" w:rsidRDefault="00F44A43" w:rsidP="00891126">
      <w:pPr>
        <w:autoSpaceDE w:val="0"/>
        <w:autoSpaceDN w:val="0"/>
        <w:adjustRightInd w:val="0"/>
        <w:spacing w:after="0" w:line="276" w:lineRule="auto"/>
        <w:jc w:val="both"/>
        <w:rPr>
          <w:rFonts w:cs="Times New Roman"/>
          <w:sz w:val="24"/>
          <w:szCs w:val="24"/>
        </w:rPr>
      </w:pPr>
      <w:r>
        <w:rPr>
          <w:rFonts w:cs="Times New Roman"/>
          <w:sz w:val="24"/>
          <w:szCs w:val="24"/>
        </w:rPr>
        <w:t>Respecto al modelo propuesto, el análisis comienza por describir la capacidad explicativa de los factores</w:t>
      </w:r>
      <w:r w:rsidR="005814A4">
        <w:rPr>
          <w:rFonts w:cs="Times New Roman"/>
          <w:sz w:val="24"/>
          <w:szCs w:val="24"/>
        </w:rPr>
        <w:t xml:space="preserve"> </w:t>
      </w:r>
      <w:r w:rsidR="00420207">
        <w:rPr>
          <w:rFonts w:cs="Times New Roman"/>
          <w:sz w:val="24"/>
          <w:szCs w:val="24"/>
        </w:rPr>
        <w:t xml:space="preserve">(ver tabla </w:t>
      </w:r>
      <w:r w:rsidR="00B66CB8">
        <w:rPr>
          <w:rFonts w:cs="Times New Roman"/>
          <w:sz w:val="24"/>
          <w:szCs w:val="24"/>
        </w:rPr>
        <w:t>6</w:t>
      </w:r>
      <w:r w:rsidR="00420207">
        <w:rPr>
          <w:rFonts w:cs="Times New Roman"/>
          <w:sz w:val="24"/>
          <w:szCs w:val="24"/>
        </w:rPr>
        <w:t>)</w:t>
      </w:r>
      <w:r w:rsidR="005814A4">
        <w:rPr>
          <w:rFonts w:cs="Times New Roman"/>
          <w:sz w:val="24"/>
          <w:szCs w:val="24"/>
        </w:rPr>
        <w:t xml:space="preserve">. Estos constituyen un primer indicio para confirmar que dimensiones se asocian con el rendimiento académico. </w:t>
      </w:r>
    </w:p>
    <w:p w:rsidR="005814A4" w:rsidRDefault="005814A4" w:rsidP="00891126">
      <w:pPr>
        <w:autoSpaceDE w:val="0"/>
        <w:autoSpaceDN w:val="0"/>
        <w:adjustRightInd w:val="0"/>
        <w:spacing w:after="0" w:line="276" w:lineRule="auto"/>
        <w:rPr>
          <w:rFonts w:cs="Times New Roman"/>
          <w:sz w:val="24"/>
          <w:szCs w:val="24"/>
        </w:rPr>
      </w:pPr>
    </w:p>
    <w:p w:rsidR="00B66CB8" w:rsidRDefault="00B66CB8" w:rsidP="00891126">
      <w:pPr>
        <w:keepNext/>
        <w:autoSpaceDE w:val="0"/>
        <w:autoSpaceDN w:val="0"/>
        <w:adjustRightInd w:val="0"/>
        <w:spacing w:after="0" w:line="276" w:lineRule="auto"/>
      </w:pPr>
    </w:p>
    <w:tbl>
      <w:tblPr>
        <w:tblStyle w:val="Tablanormal2"/>
        <w:tblpPr w:leftFromText="141" w:rightFromText="141" w:vertAnchor="text" w:horzAnchor="margin" w:tblpXSpec="center" w:tblpY="181"/>
        <w:tblW w:w="7232" w:type="dxa"/>
        <w:tblLook w:val="06E0" w:firstRow="1" w:lastRow="1" w:firstColumn="1" w:lastColumn="0" w:noHBand="1" w:noVBand="1"/>
      </w:tblPr>
      <w:tblGrid>
        <w:gridCol w:w="1250"/>
        <w:gridCol w:w="1150"/>
        <w:gridCol w:w="1150"/>
        <w:gridCol w:w="1216"/>
        <w:gridCol w:w="1216"/>
        <w:gridCol w:w="1250"/>
      </w:tblGrid>
      <w:tr w:rsidR="00696662" w:rsidRPr="002D7D3F" w:rsidTr="00696662">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50" w:type="dxa"/>
            <w:noWrap/>
            <w:hideMark/>
          </w:tcPr>
          <w:p w:rsidR="00696662" w:rsidRPr="002D7D3F" w:rsidRDefault="00696662" w:rsidP="00696662">
            <w:pPr>
              <w:spacing w:line="276" w:lineRule="auto"/>
              <w:jc w:val="center"/>
              <w:rPr>
                <w:rFonts w:eastAsia="Times New Roman" w:cs="Times New Roman"/>
                <w:sz w:val="20"/>
                <w:szCs w:val="20"/>
                <w:lang w:eastAsia="es-EC"/>
              </w:rPr>
            </w:pPr>
            <w:r w:rsidRPr="002D7D3F">
              <w:rPr>
                <w:rFonts w:eastAsia="Times New Roman" w:cs="Times New Roman"/>
                <w:sz w:val="20"/>
                <w:szCs w:val="20"/>
                <w:lang w:eastAsia="es-EC"/>
              </w:rPr>
              <w:t> </w:t>
            </w:r>
          </w:p>
        </w:tc>
        <w:tc>
          <w:tcPr>
            <w:tcW w:w="1150" w:type="dxa"/>
            <w:noWrap/>
            <w:hideMark/>
          </w:tcPr>
          <w:p w:rsidR="00696662" w:rsidRPr="002D7D3F" w:rsidRDefault="00696662" w:rsidP="0069666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0"/>
                <w:szCs w:val="20"/>
                <w:lang w:eastAsia="es-EC"/>
              </w:rPr>
            </w:pPr>
            <w:r w:rsidRPr="002D7D3F">
              <w:rPr>
                <w:rFonts w:eastAsia="Times New Roman" w:cs="Times New Roman"/>
                <w:b w:val="0"/>
                <w:sz w:val="20"/>
                <w:szCs w:val="20"/>
                <w:lang w:eastAsia="es-EC"/>
              </w:rPr>
              <w:t>Psicológico</w:t>
            </w:r>
          </w:p>
        </w:tc>
        <w:tc>
          <w:tcPr>
            <w:tcW w:w="1150" w:type="dxa"/>
            <w:noWrap/>
            <w:hideMark/>
          </w:tcPr>
          <w:p w:rsidR="00696662" w:rsidRPr="002D7D3F" w:rsidRDefault="00696662" w:rsidP="0069666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0"/>
                <w:szCs w:val="20"/>
                <w:lang w:eastAsia="es-EC"/>
              </w:rPr>
            </w:pPr>
            <w:r w:rsidRPr="002D7D3F">
              <w:rPr>
                <w:rFonts w:eastAsia="Times New Roman" w:cs="Times New Roman"/>
                <w:b w:val="0"/>
                <w:sz w:val="20"/>
                <w:szCs w:val="20"/>
                <w:lang w:eastAsia="es-EC"/>
              </w:rPr>
              <w:t>Pedagógico</w:t>
            </w:r>
          </w:p>
        </w:tc>
        <w:tc>
          <w:tcPr>
            <w:tcW w:w="1216" w:type="dxa"/>
            <w:noWrap/>
            <w:hideMark/>
          </w:tcPr>
          <w:p w:rsidR="00696662" w:rsidRPr="002D7D3F" w:rsidRDefault="00696662" w:rsidP="0069666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0"/>
                <w:szCs w:val="20"/>
                <w:lang w:eastAsia="es-EC"/>
              </w:rPr>
            </w:pPr>
            <w:r w:rsidRPr="002D7D3F">
              <w:rPr>
                <w:rFonts w:eastAsia="Times New Roman" w:cs="Times New Roman"/>
                <w:b w:val="0"/>
                <w:sz w:val="20"/>
                <w:szCs w:val="20"/>
                <w:lang w:eastAsia="es-EC"/>
              </w:rPr>
              <w:t>Institucional</w:t>
            </w:r>
          </w:p>
        </w:tc>
        <w:tc>
          <w:tcPr>
            <w:tcW w:w="1216" w:type="dxa"/>
            <w:noWrap/>
            <w:hideMark/>
          </w:tcPr>
          <w:p w:rsidR="00696662" w:rsidRPr="002D7D3F" w:rsidRDefault="00696662" w:rsidP="0069666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0"/>
                <w:szCs w:val="20"/>
                <w:lang w:eastAsia="es-EC"/>
              </w:rPr>
            </w:pPr>
            <w:r w:rsidRPr="002D7D3F">
              <w:rPr>
                <w:rFonts w:eastAsia="Times New Roman" w:cs="Times New Roman"/>
                <w:b w:val="0"/>
                <w:sz w:val="20"/>
                <w:szCs w:val="20"/>
                <w:lang w:eastAsia="es-EC"/>
              </w:rPr>
              <w:t>Condiciones socio-familiares</w:t>
            </w:r>
          </w:p>
        </w:tc>
        <w:tc>
          <w:tcPr>
            <w:tcW w:w="1250" w:type="dxa"/>
            <w:noWrap/>
            <w:hideMark/>
          </w:tcPr>
          <w:p w:rsidR="00696662" w:rsidRPr="002D7D3F" w:rsidRDefault="00696662" w:rsidP="0069666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0"/>
                <w:szCs w:val="20"/>
                <w:lang w:eastAsia="es-EC"/>
              </w:rPr>
            </w:pPr>
            <w:r w:rsidRPr="002D7D3F">
              <w:rPr>
                <w:rFonts w:eastAsia="Times New Roman" w:cs="Times New Roman"/>
                <w:b w:val="0"/>
                <w:sz w:val="20"/>
                <w:szCs w:val="20"/>
                <w:lang w:eastAsia="es-EC"/>
              </w:rPr>
              <w:t>Rendimiento académico</w:t>
            </w:r>
          </w:p>
        </w:tc>
      </w:tr>
      <w:tr w:rsidR="00696662" w:rsidRPr="002D7D3F" w:rsidTr="00696662">
        <w:trPr>
          <w:trHeight w:val="60"/>
        </w:trPr>
        <w:tc>
          <w:tcPr>
            <w:cnfStyle w:val="001000000000" w:firstRow="0" w:lastRow="0" w:firstColumn="1" w:lastColumn="0" w:oddVBand="0" w:evenVBand="0" w:oddHBand="0" w:evenHBand="0" w:firstRowFirstColumn="0" w:firstRowLastColumn="0" w:lastRowFirstColumn="0" w:lastRowLastColumn="0"/>
            <w:tcW w:w="1250" w:type="dxa"/>
            <w:noWrap/>
            <w:hideMark/>
          </w:tcPr>
          <w:p w:rsidR="00696662" w:rsidRPr="002D7D3F" w:rsidRDefault="00696662" w:rsidP="00696662">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Psicológico</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s-EC"/>
              </w:rPr>
            </w:pPr>
            <w:r w:rsidRPr="002D7D3F">
              <w:rPr>
                <w:rFonts w:eastAsia="Times New Roman" w:cs="Times New Roman"/>
                <w:b/>
                <w:bCs/>
                <w:sz w:val="20"/>
                <w:szCs w:val="20"/>
                <w:lang w:eastAsia="es-EC"/>
              </w:rPr>
              <w:t>1,000</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0,613</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0,732</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0,723</w:t>
            </w:r>
          </w:p>
        </w:tc>
        <w:tc>
          <w:tcPr>
            <w:tcW w:w="12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0,710</w:t>
            </w:r>
          </w:p>
        </w:tc>
      </w:tr>
      <w:tr w:rsidR="00696662" w:rsidRPr="002D7D3F" w:rsidTr="00696662">
        <w:trPr>
          <w:trHeight w:val="60"/>
        </w:trPr>
        <w:tc>
          <w:tcPr>
            <w:cnfStyle w:val="001000000000" w:firstRow="0" w:lastRow="0" w:firstColumn="1" w:lastColumn="0" w:oddVBand="0" w:evenVBand="0" w:oddHBand="0" w:evenHBand="0" w:firstRowFirstColumn="0" w:firstRowLastColumn="0" w:lastRowFirstColumn="0" w:lastRowLastColumn="0"/>
            <w:tcW w:w="1250" w:type="dxa"/>
            <w:noWrap/>
            <w:hideMark/>
          </w:tcPr>
          <w:p w:rsidR="00696662" w:rsidRPr="002D7D3F" w:rsidRDefault="00696662" w:rsidP="00696662">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Pedagógico</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0,713</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s-EC"/>
              </w:rPr>
            </w:pPr>
            <w:r w:rsidRPr="002D7D3F">
              <w:rPr>
                <w:rFonts w:eastAsia="Times New Roman" w:cs="Times New Roman"/>
                <w:b/>
                <w:bCs/>
                <w:sz w:val="20"/>
                <w:szCs w:val="20"/>
                <w:lang w:eastAsia="es-EC"/>
              </w:rPr>
              <w:t>1,000</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0,782</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0,753</w:t>
            </w:r>
          </w:p>
        </w:tc>
        <w:tc>
          <w:tcPr>
            <w:tcW w:w="12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0,786</w:t>
            </w:r>
          </w:p>
        </w:tc>
      </w:tr>
      <w:tr w:rsidR="00696662" w:rsidRPr="002D7D3F" w:rsidTr="00696662">
        <w:trPr>
          <w:trHeight w:val="60"/>
        </w:trPr>
        <w:tc>
          <w:tcPr>
            <w:cnfStyle w:val="001000000000" w:firstRow="0" w:lastRow="0" w:firstColumn="1" w:lastColumn="0" w:oddVBand="0" w:evenVBand="0" w:oddHBand="0" w:evenHBand="0" w:firstRowFirstColumn="0" w:firstRowLastColumn="0" w:lastRowFirstColumn="0" w:lastRowLastColumn="0"/>
            <w:tcW w:w="1250" w:type="dxa"/>
            <w:noWrap/>
            <w:hideMark/>
          </w:tcPr>
          <w:p w:rsidR="00696662" w:rsidRPr="002D7D3F" w:rsidRDefault="00696662" w:rsidP="00696662">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Institucional</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0,732</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0,782</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s-EC"/>
              </w:rPr>
            </w:pPr>
            <w:r w:rsidRPr="002D7D3F">
              <w:rPr>
                <w:rFonts w:eastAsia="Times New Roman" w:cs="Times New Roman"/>
                <w:b/>
                <w:bCs/>
                <w:sz w:val="20"/>
                <w:szCs w:val="20"/>
                <w:lang w:eastAsia="es-EC"/>
              </w:rPr>
              <w:t>1,000</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0,681</w:t>
            </w:r>
          </w:p>
        </w:tc>
        <w:tc>
          <w:tcPr>
            <w:tcW w:w="12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Pr>
                <w:rFonts w:eastAsia="Times New Roman" w:cs="Times New Roman"/>
                <w:sz w:val="20"/>
                <w:szCs w:val="20"/>
                <w:lang w:eastAsia="es-EC"/>
              </w:rPr>
              <w:t>0,7</w:t>
            </w:r>
            <w:r w:rsidRPr="002D7D3F">
              <w:rPr>
                <w:rFonts w:eastAsia="Times New Roman" w:cs="Times New Roman"/>
                <w:sz w:val="20"/>
                <w:szCs w:val="20"/>
                <w:lang w:eastAsia="es-EC"/>
              </w:rPr>
              <w:t>42</w:t>
            </w:r>
          </w:p>
        </w:tc>
      </w:tr>
      <w:tr w:rsidR="00696662" w:rsidRPr="002D7D3F" w:rsidTr="00696662">
        <w:trPr>
          <w:trHeight w:val="60"/>
        </w:trPr>
        <w:tc>
          <w:tcPr>
            <w:cnfStyle w:val="001000000000" w:firstRow="0" w:lastRow="0" w:firstColumn="1" w:lastColumn="0" w:oddVBand="0" w:evenVBand="0" w:oddHBand="0" w:evenHBand="0" w:firstRowFirstColumn="0" w:firstRowLastColumn="0" w:lastRowFirstColumn="0" w:lastRowLastColumn="0"/>
            <w:tcW w:w="1250" w:type="dxa"/>
            <w:noWrap/>
            <w:hideMark/>
          </w:tcPr>
          <w:p w:rsidR="00696662" w:rsidRPr="002D7D3F" w:rsidRDefault="00696662" w:rsidP="00696662">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Condiciones socio-familiares</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0,723</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0,753</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0,681</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s-EC"/>
              </w:rPr>
            </w:pPr>
            <w:r w:rsidRPr="002D7D3F">
              <w:rPr>
                <w:rFonts w:eastAsia="Times New Roman" w:cs="Times New Roman"/>
                <w:b/>
                <w:bCs/>
                <w:sz w:val="20"/>
                <w:szCs w:val="20"/>
                <w:lang w:eastAsia="es-EC"/>
              </w:rPr>
              <w:t>1,000</w:t>
            </w:r>
          </w:p>
        </w:tc>
        <w:tc>
          <w:tcPr>
            <w:tcW w:w="12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0,768</w:t>
            </w:r>
          </w:p>
        </w:tc>
      </w:tr>
      <w:tr w:rsidR="00696662" w:rsidRPr="002D7D3F" w:rsidTr="00696662">
        <w:trPr>
          <w:trHeight w:val="64"/>
        </w:trPr>
        <w:tc>
          <w:tcPr>
            <w:cnfStyle w:val="001000000000" w:firstRow="0" w:lastRow="0" w:firstColumn="1" w:lastColumn="0" w:oddVBand="0" w:evenVBand="0" w:oddHBand="0" w:evenHBand="0" w:firstRowFirstColumn="0" w:firstRowLastColumn="0" w:lastRowFirstColumn="0" w:lastRowLastColumn="0"/>
            <w:tcW w:w="1250" w:type="dxa"/>
            <w:noWrap/>
            <w:hideMark/>
          </w:tcPr>
          <w:p w:rsidR="00696662" w:rsidRPr="002D7D3F" w:rsidRDefault="00696662" w:rsidP="00696662">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Rendimiento académico</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0,710</w:t>
            </w:r>
          </w:p>
        </w:tc>
        <w:tc>
          <w:tcPr>
            <w:tcW w:w="11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0,786</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Pr>
                <w:rFonts w:eastAsia="Times New Roman" w:cs="Times New Roman"/>
                <w:sz w:val="20"/>
                <w:szCs w:val="20"/>
                <w:lang w:eastAsia="es-EC"/>
              </w:rPr>
              <w:t>0,7</w:t>
            </w:r>
            <w:r w:rsidRPr="002D7D3F">
              <w:rPr>
                <w:rFonts w:eastAsia="Times New Roman" w:cs="Times New Roman"/>
                <w:sz w:val="20"/>
                <w:szCs w:val="20"/>
                <w:lang w:eastAsia="es-EC"/>
              </w:rPr>
              <w:t>42</w:t>
            </w:r>
          </w:p>
        </w:tc>
        <w:tc>
          <w:tcPr>
            <w:tcW w:w="1216"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2D7D3F">
              <w:rPr>
                <w:rFonts w:eastAsia="Times New Roman" w:cs="Times New Roman"/>
                <w:sz w:val="20"/>
                <w:szCs w:val="20"/>
                <w:lang w:eastAsia="es-EC"/>
              </w:rPr>
              <w:t>0,768</w:t>
            </w:r>
          </w:p>
        </w:tc>
        <w:tc>
          <w:tcPr>
            <w:tcW w:w="1250" w:type="dxa"/>
            <w:noWrap/>
            <w:hideMark/>
          </w:tcPr>
          <w:p w:rsidR="00696662" w:rsidRPr="002D7D3F" w:rsidRDefault="00696662" w:rsidP="00696662">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s-EC"/>
              </w:rPr>
            </w:pPr>
            <w:r w:rsidRPr="002D7D3F">
              <w:rPr>
                <w:rFonts w:eastAsia="Times New Roman" w:cs="Times New Roman"/>
                <w:b/>
                <w:bCs/>
                <w:sz w:val="20"/>
                <w:szCs w:val="20"/>
                <w:lang w:eastAsia="es-EC"/>
              </w:rPr>
              <w:t>1,000</w:t>
            </w:r>
          </w:p>
        </w:tc>
      </w:tr>
      <w:tr w:rsidR="00696662" w:rsidRPr="002D7D3F" w:rsidTr="00696662">
        <w:trPr>
          <w:cnfStyle w:val="010000000000" w:firstRow="0" w:lastRow="1"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7232" w:type="dxa"/>
            <w:gridSpan w:val="6"/>
            <w:noWrap/>
          </w:tcPr>
          <w:p w:rsidR="00696662" w:rsidRDefault="00696662" w:rsidP="00696662">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 xml:space="preserve">Fuente: </w:t>
            </w:r>
            <w:r>
              <w:rPr>
                <w:rFonts w:eastAsia="Times New Roman" w:cs="Times New Roman"/>
                <w:b w:val="0"/>
                <w:sz w:val="20"/>
                <w:szCs w:val="20"/>
                <w:lang w:eastAsia="es-EC"/>
              </w:rPr>
              <w:t>grupo objetivo</w:t>
            </w:r>
          </w:p>
          <w:p w:rsidR="00696662" w:rsidRPr="002D7D3F" w:rsidRDefault="00696662" w:rsidP="00696662">
            <w:pPr>
              <w:spacing w:line="276" w:lineRule="auto"/>
              <w:rPr>
                <w:rFonts w:eastAsia="Times New Roman" w:cs="Times New Roman"/>
                <w:b w:val="0"/>
                <w:bCs w:val="0"/>
                <w:sz w:val="20"/>
                <w:szCs w:val="20"/>
                <w:lang w:eastAsia="es-EC"/>
              </w:rPr>
            </w:pPr>
            <w:r w:rsidRPr="002D7D3F">
              <w:rPr>
                <w:rFonts w:eastAsia="Times New Roman" w:cs="Times New Roman"/>
                <w:b w:val="0"/>
                <w:sz w:val="20"/>
                <w:szCs w:val="20"/>
                <w:lang w:eastAsia="es-EC"/>
              </w:rPr>
              <w:t>Elaboración con XLSTAT</w:t>
            </w:r>
          </w:p>
        </w:tc>
      </w:tr>
    </w:tbl>
    <w:p w:rsidR="00B66CB8" w:rsidRDefault="00B66CB8" w:rsidP="00891126">
      <w:pPr>
        <w:pStyle w:val="Descripcin"/>
        <w:spacing w:line="276" w:lineRule="auto"/>
        <w:jc w:val="left"/>
      </w:pPr>
      <w:r>
        <w:t xml:space="preserve">Figura </w:t>
      </w:r>
      <w:r w:rsidR="00CA344C">
        <w:rPr>
          <w:noProof/>
        </w:rPr>
        <w:fldChar w:fldCharType="begin"/>
      </w:r>
      <w:r w:rsidR="00CA344C">
        <w:rPr>
          <w:noProof/>
        </w:rPr>
        <w:instrText xml:space="preserve"> SEQ Figura \* ARABIC </w:instrText>
      </w:r>
      <w:r w:rsidR="00CA344C">
        <w:rPr>
          <w:noProof/>
        </w:rPr>
        <w:fldChar w:fldCharType="separate"/>
      </w:r>
      <w:r w:rsidR="00B71B71">
        <w:rPr>
          <w:noProof/>
        </w:rPr>
        <w:t>2</w:t>
      </w:r>
      <w:r w:rsidR="00CA344C">
        <w:rPr>
          <w:noProof/>
        </w:rPr>
        <w:fldChar w:fldCharType="end"/>
      </w:r>
      <w:r>
        <w:t>. Modelo de factores asociados al rendimiento académico</w:t>
      </w:r>
    </w:p>
    <w:p w:rsidR="002D7D3F" w:rsidRDefault="002D7D3F" w:rsidP="00891126">
      <w:pPr>
        <w:spacing w:after="0" w:line="276" w:lineRule="auto"/>
        <w:rPr>
          <w:rFonts w:eastAsia="Times New Roman" w:cs="Times New Roman"/>
          <w:color w:val="000000"/>
          <w:sz w:val="20"/>
          <w:szCs w:val="20"/>
        </w:rPr>
      </w:pPr>
      <w:r>
        <w:t xml:space="preserve">Fuente: </w:t>
      </w:r>
      <w:r w:rsidRPr="00F26BA6">
        <w:rPr>
          <w:rFonts w:eastAsia="Times New Roman" w:cs="Times New Roman"/>
          <w:color w:val="000000"/>
          <w:sz w:val="20"/>
          <w:szCs w:val="20"/>
        </w:rPr>
        <w:t xml:space="preserve">Adaptación de </w:t>
      </w:r>
      <w:sdt>
        <w:sdtPr>
          <w:rPr>
            <w:rFonts w:eastAsia="Times New Roman" w:cs="Times New Roman"/>
            <w:color w:val="000000"/>
            <w:sz w:val="20"/>
            <w:szCs w:val="20"/>
          </w:rPr>
          <w:id w:val="1402410736"/>
          <w:citation/>
        </w:sdtPr>
        <w:sdtContent>
          <w:r w:rsidRPr="00F26BA6">
            <w:rPr>
              <w:rFonts w:eastAsia="Times New Roman" w:cs="Times New Roman"/>
              <w:color w:val="000000"/>
              <w:sz w:val="20"/>
              <w:szCs w:val="20"/>
            </w:rPr>
            <w:fldChar w:fldCharType="begin"/>
          </w:r>
          <w:r w:rsidRPr="00F26BA6">
            <w:rPr>
              <w:rFonts w:eastAsia="Times New Roman" w:cs="Times New Roman"/>
              <w:color w:val="000000"/>
              <w:sz w:val="20"/>
              <w:szCs w:val="20"/>
            </w:rPr>
            <w:instrText xml:space="preserve"> CITATION Aya18 \l 12298 </w:instrText>
          </w:r>
          <w:r w:rsidRPr="00F26BA6">
            <w:rPr>
              <w:rFonts w:eastAsia="Times New Roman" w:cs="Times New Roman"/>
              <w:color w:val="000000"/>
              <w:sz w:val="20"/>
              <w:szCs w:val="20"/>
            </w:rPr>
            <w:fldChar w:fldCharType="separate"/>
          </w:r>
          <w:r w:rsidR="00A4238C" w:rsidRPr="00A4238C">
            <w:rPr>
              <w:rFonts w:eastAsia="Times New Roman" w:cs="Times New Roman"/>
              <w:noProof/>
              <w:color w:val="000000"/>
              <w:sz w:val="20"/>
              <w:szCs w:val="20"/>
            </w:rPr>
            <w:t>(Ayala &amp; Atencio, 2018)</w:t>
          </w:r>
          <w:r w:rsidRPr="00F26BA6">
            <w:rPr>
              <w:rFonts w:eastAsia="Times New Roman" w:cs="Times New Roman"/>
              <w:color w:val="000000"/>
              <w:sz w:val="20"/>
              <w:szCs w:val="20"/>
            </w:rPr>
            <w:fldChar w:fldCharType="end"/>
          </w:r>
        </w:sdtContent>
      </w:sdt>
      <w:sdt>
        <w:sdtPr>
          <w:rPr>
            <w:rFonts w:eastAsia="Times New Roman" w:cs="Times New Roman"/>
            <w:color w:val="000000"/>
            <w:sz w:val="20"/>
            <w:szCs w:val="20"/>
          </w:rPr>
          <w:id w:val="867183300"/>
          <w:citation/>
        </w:sdtPr>
        <w:sdtContent>
          <w:r w:rsidRPr="00F26BA6">
            <w:rPr>
              <w:rFonts w:eastAsia="Times New Roman" w:cs="Times New Roman"/>
              <w:color w:val="000000"/>
              <w:sz w:val="20"/>
              <w:szCs w:val="20"/>
            </w:rPr>
            <w:fldChar w:fldCharType="begin"/>
          </w:r>
          <w:r w:rsidRPr="00F26BA6">
            <w:rPr>
              <w:rFonts w:eastAsia="Times New Roman" w:cs="Times New Roman"/>
              <w:color w:val="000000"/>
              <w:sz w:val="20"/>
              <w:szCs w:val="20"/>
            </w:rPr>
            <w:instrText xml:space="preserve"> CITATION Gar07 \l 12298 </w:instrText>
          </w:r>
          <w:r w:rsidRPr="00F26BA6">
            <w:rPr>
              <w:rFonts w:eastAsia="Times New Roman" w:cs="Times New Roman"/>
              <w:color w:val="000000"/>
              <w:sz w:val="20"/>
              <w:szCs w:val="20"/>
            </w:rPr>
            <w:fldChar w:fldCharType="separate"/>
          </w:r>
          <w:r w:rsidR="00A4238C">
            <w:rPr>
              <w:rFonts w:eastAsia="Times New Roman" w:cs="Times New Roman"/>
              <w:noProof/>
              <w:color w:val="000000"/>
              <w:sz w:val="20"/>
              <w:szCs w:val="20"/>
            </w:rPr>
            <w:t xml:space="preserve"> </w:t>
          </w:r>
          <w:r w:rsidR="00A4238C" w:rsidRPr="00A4238C">
            <w:rPr>
              <w:rFonts w:eastAsia="Times New Roman" w:cs="Times New Roman"/>
              <w:noProof/>
              <w:color w:val="000000"/>
              <w:sz w:val="20"/>
              <w:szCs w:val="20"/>
            </w:rPr>
            <w:t>(Garbanzo Vargas, 2007)</w:t>
          </w:r>
          <w:r w:rsidRPr="00F26BA6">
            <w:rPr>
              <w:rFonts w:eastAsia="Times New Roman" w:cs="Times New Roman"/>
              <w:color w:val="000000"/>
              <w:sz w:val="20"/>
              <w:szCs w:val="20"/>
            </w:rPr>
            <w:fldChar w:fldCharType="end"/>
          </w:r>
        </w:sdtContent>
      </w:sdt>
      <w:sdt>
        <w:sdtPr>
          <w:rPr>
            <w:rFonts w:eastAsia="Times New Roman" w:cs="Times New Roman"/>
            <w:color w:val="000000"/>
            <w:sz w:val="20"/>
            <w:szCs w:val="20"/>
          </w:rPr>
          <w:id w:val="-542361787"/>
          <w:citation/>
        </w:sdtPr>
        <w:sdtContent>
          <w:r w:rsidRPr="00F26BA6">
            <w:rPr>
              <w:rFonts w:eastAsia="Times New Roman" w:cs="Times New Roman"/>
              <w:color w:val="000000"/>
              <w:sz w:val="20"/>
              <w:szCs w:val="20"/>
            </w:rPr>
            <w:fldChar w:fldCharType="begin"/>
          </w:r>
          <w:r w:rsidRPr="00F26BA6">
            <w:rPr>
              <w:rFonts w:eastAsia="Times New Roman" w:cs="Times New Roman"/>
              <w:color w:val="000000"/>
              <w:sz w:val="20"/>
              <w:szCs w:val="20"/>
            </w:rPr>
            <w:instrText xml:space="preserve"> CITATION Tej07 \l 12298 </w:instrText>
          </w:r>
          <w:r w:rsidRPr="00F26BA6">
            <w:rPr>
              <w:rFonts w:eastAsia="Times New Roman" w:cs="Times New Roman"/>
              <w:color w:val="000000"/>
              <w:sz w:val="20"/>
              <w:szCs w:val="20"/>
            </w:rPr>
            <w:fldChar w:fldCharType="separate"/>
          </w:r>
          <w:r w:rsidR="00A4238C">
            <w:rPr>
              <w:rFonts w:eastAsia="Times New Roman" w:cs="Times New Roman"/>
              <w:noProof/>
              <w:color w:val="000000"/>
              <w:sz w:val="20"/>
              <w:szCs w:val="20"/>
            </w:rPr>
            <w:t xml:space="preserve"> </w:t>
          </w:r>
          <w:r w:rsidR="00A4238C" w:rsidRPr="00A4238C">
            <w:rPr>
              <w:rFonts w:eastAsia="Times New Roman" w:cs="Times New Roman"/>
              <w:noProof/>
              <w:color w:val="000000"/>
              <w:sz w:val="20"/>
              <w:szCs w:val="20"/>
            </w:rPr>
            <w:t>(Tejedor &amp; García-Valcárcel, 2007)</w:t>
          </w:r>
          <w:r w:rsidRPr="00F26BA6">
            <w:rPr>
              <w:rFonts w:eastAsia="Times New Roman" w:cs="Times New Roman"/>
              <w:color w:val="000000"/>
              <w:sz w:val="20"/>
              <w:szCs w:val="20"/>
            </w:rPr>
            <w:fldChar w:fldCharType="end"/>
          </w:r>
        </w:sdtContent>
      </w:sdt>
    </w:p>
    <w:p w:rsidR="002D7D3F" w:rsidRPr="002D7D3F" w:rsidRDefault="002D7D3F" w:rsidP="00891126">
      <w:pPr>
        <w:spacing w:line="276" w:lineRule="auto"/>
        <w:rPr>
          <w:rFonts w:eastAsia="Times New Roman" w:cs="Times New Roman"/>
          <w:color w:val="000000"/>
          <w:sz w:val="20"/>
          <w:szCs w:val="20"/>
        </w:rPr>
      </w:pPr>
      <w:r>
        <w:t>Elaboración propia.</w:t>
      </w:r>
    </w:p>
    <w:p w:rsidR="00696662" w:rsidRDefault="00696662" w:rsidP="00891126">
      <w:pPr>
        <w:spacing w:line="276" w:lineRule="auto"/>
        <w:jc w:val="both"/>
      </w:pPr>
    </w:p>
    <w:p w:rsidR="00B66CB8" w:rsidRDefault="00365DDD" w:rsidP="00891126">
      <w:pPr>
        <w:spacing w:line="276" w:lineRule="auto"/>
        <w:jc w:val="both"/>
      </w:pPr>
      <w:r>
        <w:t xml:space="preserve">Al igual que los hallazgos de </w:t>
      </w:r>
      <w:r>
        <w:rPr>
          <w:noProof/>
        </w:rPr>
        <w:t>Velázquez Narváez, Medina, &amp; Mario</w:t>
      </w:r>
      <w:r>
        <w:t xml:space="preserve"> </w:t>
      </w:r>
      <w:sdt>
        <w:sdtPr>
          <w:id w:val="1264956291"/>
          <w:citation/>
        </w:sdtPr>
        <w:sdtContent>
          <w:r>
            <w:fldChar w:fldCharType="begin"/>
          </w:r>
          <w:r>
            <w:instrText xml:space="preserve">CITATION Vél17 \n  \t  \l 12298 </w:instrText>
          </w:r>
          <w:r>
            <w:fldChar w:fldCharType="separate"/>
          </w:r>
          <w:r w:rsidR="00A4238C">
            <w:rPr>
              <w:noProof/>
            </w:rPr>
            <w:t>(2017)</w:t>
          </w:r>
          <w:r>
            <w:fldChar w:fldCharType="end"/>
          </w:r>
        </w:sdtContent>
      </w:sdt>
      <w:r>
        <w:t xml:space="preserve">, las asociaciones más fuertes dejan por fuera a la </w:t>
      </w:r>
      <w:r>
        <w:lastRenderedPageBreak/>
        <w:t>dimensión psicológica (0,321) frente al valor p = 0.05</w:t>
      </w:r>
      <w:r w:rsidR="003A4C1C">
        <w:t>, mientras 0,031 corresponde a la dimensión pedagógica; 0,012 a la dimensión institucional y 0,025 a la dimensión socio-familiar.</w:t>
      </w:r>
      <w:r>
        <w:t xml:space="preserve"> </w:t>
      </w:r>
      <w:r w:rsidR="002D7D3F">
        <w:t>Las dimensiones se encuentran relacionadas positivamente, aunque los coeficientes de correlación más bajos se encuentran entre condiciones socio-familiares e institucional (0,681); y el rendimiento académico y el aspecto psicológico</w:t>
      </w:r>
      <w:r w:rsidR="00CF0045">
        <w:t xml:space="preserve"> (0,710)</w:t>
      </w:r>
      <w:r>
        <w:t xml:space="preserve">. </w:t>
      </w:r>
      <w:r w:rsidR="003A4C1C">
        <w:t>(Ver tabla5)</w:t>
      </w:r>
    </w:p>
    <w:p w:rsidR="00A241E2" w:rsidRDefault="00B66CB8" w:rsidP="00891126">
      <w:pPr>
        <w:pStyle w:val="Descripcin"/>
        <w:spacing w:line="276" w:lineRule="auto"/>
      </w:pPr>
      <w:r>
        <w:t xml:space="preserve">Tabla </w:t>
      </w:r>
      <w:r w:rsidR="00CA344C">
        <w:rPr>
          <w:noProof/>
        </w:rPr>
        <w:fldChar w:fldCharType="begin"/>
      </w:r>
      <w:r w:rsidR="00CA344C">
        <w:rPr>
          <w:noProof/>
        </w:rPr>
        <w:instrText xml:space="preserve"> SEQ Tabla \* ARABIC </w:instrText>
      </w:r>
      <w:r w:rsidR="00CA344C">
        <w:rPr>
          <w:noProof/>
        </w:rPr>
        <w:fldChar w:fldCharType="separate"/>
      </w:r>
      <w:r w:rsidR="00B71B71">
        <w:rPr>
          <w:noProof/>
        </w:rPr>
        <w:t>5</w:t>
      </w:r>
      <w:r w:rsidR="00CA344C">
        <w:rPr>
          <w:noProof/>
        </w:rPr>
        <w:fldChar w:fldCharType="end"/>
      </w:r>
      <w:r>
        <w:t xml:space="preserve">. </w:t>
      </w:r>
    </w:p>
    <w:p w:rsidR="00B66CB8" w:rsidRDefault="00B66CB8" w:rsidP="00891126">
      <w:pPr>
        <w:pStyle w:val="Descripcin"/>
        <w:spacing w:line="276" w:lineRule="auto"/>
      </w:pPr>
      <w:r w:rsidRPr="00621402">
        <w:t>C</w:t>
      </w:r>
      <w:r>
        <w:t>orrelaciones de variables</w:t>
      </w:r>
    </w:p>
    <w:p w:rsidR="00E757EE" w:rsidRDefault="00E757EE" w:rsidP="00891126">
      <w:pPr>
        <w:spacing w:line="276" w:lineRule="auto"/>
      </w:pPr>
    </w:p>
    <w:p w:rsidR="00E757EE" w:rsidRPr="00B66CB8" w:rsidRDefault="00E757EE" w:rsidP="00891126">
      <w:pPr>
        <w:spacing w:line="276" w:lineRule="auto"/>
        <w:jc w:val="both"/>
      </w:pPr>
      <w:r>
        <w:t>Los componentes son capaces de explicar el 69.380 % de la varianza, entre ellos destacan las categorías de auto concepto, metas personales por la dimensión psicológica</w:t>
      </w:r>
      <w:r w:rsidR="00675A03">
        <w:t xml:space="preserve">, mientras </w:t>
      </w:r>
      <w:r w:rsidR="004827B4">
        <w:t xml:space="preserve">la dimensión institucional </w:t>
      </w:r>
      <w:r w:rsidR="00DE3437">
        <w:t xml:space="preserve">está representada </w:t>
      </w:r>
      <w:r w:rsidR="008F55A6">
        <w:t>por el sentido de pertenencia y la calidad de la carrera</w:t>
      </w:r>
      <w:r w:rsidR="008A6CC4">
        <w:t xml:space="preserve"> entre los más destacados.</w:t>
      </w:r>
      <w:r>
        <w:t xml:space="preserve"> </w:t>
      </w:r>
      <w:r w:rsidR="00026DCA">
        <w:t>(</w:t>
      </w:r>
      <w:proofErr w:type="gramStart"/>
      <w:r w:rsidR="00026DCA">
        <w:t>ver</w:t>
      </w:r>
      <w:proofErr w:type="gramEnd"/>
      <w:r w:rsidR="00026DCA">
        <w:t xml:space="preserve"> tabla 6) </w:t>
      </w:r>
    </w:p>
    <w:p w:rsidR="00106BDB" w:rsidRDefault="00106BDB" w:rsidP="00891126">
      <w:pPr>
        <w:pStyle w:val="Descripcin"/>
        <w:spacing w:line="276" w:lineRule="auto"/>
      </w:pPr>
      <w:r>
        <w:t xml:space="preserve">Tabla </w:t>
      </w:r>
      <w:r w:rsidR="00CA344C">
        <w:rPr>
          <w:noProof/>
        </w:rPr>
        <w:fldChar w:fldCharType="begin"/>
      </w:r>
      <w:r w:rsidR="00CA344C">
        <w:rPr>
          <w:noProof/>
        </w:rPr>
        <w:instrText xml:space="preserve"> SEQ Tabla \* ARABIC </w:instrText>
      </w:r>
      <w:r w:rsidR="00CA344C">
        <w:rPr>
          <w:noProof/>
        </w:rPr>
        <w:fldChar w:fldCharType="separate"/>
      </w:r>
      <w:r w:rsidR="00B71B71">
        <w:rPr>
          <w:noProof/>
        </w:rPr>
        <w:t>6</w:t>
      </w:r>
      <w:r w:rsidR="00CA344C">
        <w:rPr>
          <w:noProof/>
        </w:rPr>
        <w:fldChar w:fldCharType="end"/>
      </w:r>
      <w:r>
        <w:t xml:space="preserve">. </w:t>
      </w:r>
    </w:p>
    <w:p w:rsidR="00106BDB" w:rsidRDefault="00106BDB" w:rsidP="00891126">
      <w:pPr>
        <w:pStyle w:val="Descripcin"/>
        <w:spacing w:line="276" w:lineRule="auto"/>
      </w:pPr>
      <w:r>
        <w:t>Análisis factorial</w:t>
      </w:r>
    </w:p>
    <w:p w:rsidR="00106BDB" w:rsidRPr="00106BDB" w:rsidRDefault="00106BDB" w:rsidP="00891126">
      <w:pPr>
        <w:spacing w:after="0" w:line="276" w:lineRule="auto"/>
      </w:pPr>
    </w:p>
    <w:tbl>
      <w:tblPr>
        <w:tblStyle w:val="Tablanormal2"/>
        <w:tblW w:w="5000" w:type="pct"/>
        <w:tblLook w:val="0660" w:firstRow="1" w:lastRow="1" w:firstColumn="0" w:lastColumn="0" w:noHBand="1" w:noVBand="1"/>
      </w:tblPr>
      <w:tblGrid>
        <w:gridCol w:w="1940"/>
        <w:gridCol w:w="2029"/>
      </w:tblGrid>
      <w:tr w:rsidR="00106BDB" w:rsidRPr="00106BDB" w:rsidTr="00106BDB">
        <w:trPr>
          <w:cnfStyle w:val="100000000000" w:firstRow="1" w:lastRow="0" w:firstColumn="0" w:lastColumn="0" w:oddVBand="0" w:evenVBand="0" w:oddHBand="0" w:evenHBand="0" w:firstRowFirstColumn="0" w:firstRowLastColumn="0" w:lastRowFirstColumn="0" w:lastRowLastColumn="0"/>
        </w:trPr>
        <w:tc>
          <w:tcPr>
            <w:tcW w:w="2444" w:type="pct"/>
          </w:tcPr>
          <w:p w:rsidR="00106BDB" w:rsidRPr="00106BDB" w:rsidRDefault="00F44A43" w:rsidP="00891126">
            <w:pPr>
              <w:autoSpaceDE w:val="0"/>
              <w:autoSpaceDN w:val="0"/>
              <w:adjustRightInd w:val="0"/>
              <w:spacing w:line="276" w:lineRule="auto"/>
              <w:rPr>
                <w:rFonts w:cs="Times New Roman"/>
                <w:color w:val="000000"/>
                <w:sz w:val="18"/>
                <w:szCs w:val="18"/>
              </w:rPr>
            </w:pPr>
            <w:r>
              <w:rPr>
                <w:rFonts w:cs="Times New Roman"/>
                <w:color w:val="000000"/>
                <w:sz w:val="18"/>
                <w:szCs w:val="18"/>
              </w:rPr>
              <w:t>Factor</w:t>
            </w:r>
          </w:p>
        </w:tc>
        <w:tc>
          <w:tcPr>
            <w:tcW w:w="2556" w:type="pct"/>
          </w:tcPr>
          <w:p w:rsidR="00106BDB" w:rsidRPr="00106BDB" w:rsidRDefault="00106BDB" w:rsidP="00891126">
            <w:pPr>
              <w:autoSpaceDE w:val="0"/>
              <w:autoSpaceDN w:val="0"/>
              <w:adjustRightInd w:val="0"/>
              <w:spacing w:line="276" w:lineRule="auto"/>
              <w:ind w:left="60" w:right="60"/>
              <w:jc w:val="center"/>
              <w:rPr>
                <w:rFonts w:cs="Times New Roman"/>
                <w:color w:val="000000"/>
                <w:sz w:val="18"/>
                <w:szCs w:val="18"/>
              </w:rPr>
            </w:pPr>
            <w:r w:rsidRPr="00106BDB">
              <w:rPr>
                <w:rFonts w:cs="Times New Roman"/>
                <w:color w:val="000000"/>
                <w:sz w:val="18"/>
                <w:szCs w:val="18"/>
              </w:rPr>
              <w:t>% de varianza</w:t>
            </w:r>
          </w:p>
        </w:tc>
      </w:tr>
      <w:tr w:rsidR="00106BDB" w:rsidRPr="00106BDB" w:rsidTr="00106BDB">
        <w:tc>
          <w:tcPr>
            <w:tcW w:w="2444" w:type="pct"/>
          </w:tcPr>
          <w:p w:rsidR="00106BDB" w:rsidRPr="00106BDB" w:rsidRDefault="00106BDB" w:rsidP="00891126">
            <w:pPr>
              <w:autoSpaceDE w:val="0"/>
              <w:autoSpaceDN w:val="0"/>
              <w:adjustRightInd w:val="0"/>
              <w:spacing w:line="276" w:lineRule="auto"/>
              <w:ind w:right="60"/>
              <w:rPr>
                <w:rFonts w:cs="Times New Roman"/>
                <w:color w:val="000000"/>
                <w:sz w:val="18"/>
                <w:szCs w:val="18"/>
              </w:rPr>
            </w:pPr>
            <w:r w:rsidRPr="00106BDB">
              <w:rPr>
                <w:rFonts w:cs="Times New Roman"/>
                <w:color w:val="000000"/>
                <w:sz w:val="18"/>
                <w:szCs w:val="18"/>
              </w:rPr>
              <w:t>Psicológica</w:t>
            </w:r>
          </w:p>
        </w:tc>
        <w:tc>
          <w:tcPr>
            <w:tcW w:w="2556" w:type="pct"/>
          </w:tcPr>
          <w:p w:rsidR="00106BDB" w:rsidRPr="00106BDB" w:rsidRDefault="00106BDB" w:rsidP="00891126">
            <w:pPr>
              <w:autoSpaceDE w:val="0"/>
              <w:autoSpaceDN w:val="0"/>
              <w:adjustRightInd w:val="0"/>
              <w:spacing w:line="276" w:lineRule="auto"/>
              <w:ind w:left="60" w:right="60"/>
              <w:jc w:val="right"/>
              <w:rPr>
                <w:rFonts w:cs="Times New Roman"/>
                <w:color w:val="000000"/>
                <w:sz w:val="18"/>
                <w:szCs w:val="18"/>
              </w:rPr>
            </w:pPr>
            <w:r w:rsidRPr="00106BDB">
              <w:rPr>
                <w:rFonts w:cs="Times New Roman"/>
                <w:color w:val="000000"/>
                <w:sz w:val="18"/>
                <w:szCs w:val="18"/>
              </w:rPr>
              <w:t>43,328</w:t>
            </w:r>
          </w:p>
        </w:tc>
      </w:tr>
      <w:tr w:rsidR="00106BDB" w:rsidRPr="00106BDB" w:rsidTr="00106BDB">
        <w:tc>
          <w:tcPr>
            <w:tcW w:w="2444" w:type="pct"/>
          </w:tcPr>
          <w:p w:rsidR="00106BDB" w:rsidRPr="00106BDB" w:rsidRDefault="00106BDB" w:rsidP="00891126">
            <w:pPr>
              <w:autoSpaceDE w:val="0"/>
              <w:autoSpaceDN w:val="0"/>
              <w:adjustRightInd w:val="0"/>
              <w:spacing w:line="276" w:lineRule="auto"/>
              <w:ind w:right="60"/>
              <w:rPr>
                <w:rFonts w:cs="Times New Roman"/>
                <w:color w:val="000000"/>
                <w:sz w:val="18"/>
                <w:szCs w:val="18"/>
              </w:rPr>
            </w:pPr>
            <w:r w:rsidRPr="00106BDB">
              <w:rPr>
                <w:rFonts w:cs="Times New Roman"/>
                <w:color w:val="000000"/>
                <w:sz w:val="18"/>
                <w:szCs w:val="18"/>
              </w:rPr>
              <w:t>Pedagógica</w:t>
            </w:r>
          </w:p>
        </w:tc>
        <w:tc>
          <w:tcPr>
            <w:tcW w:w="2556" w:type="pct"/>
          </w:tcPr>
          <w:p w:rsidR="00106BDB" w:rsidRPr="00106BDB" w:rsidRDefault="00106BDB" w:rsidP="00891126">
            <w:pPr>
              <w:autoSpaceDE w:val="0"/>
              <w:autoSpaceDN w:val="0"/>
              <w:adjustRightInd w:val="0"/>
              <w:spacing w:line="276" w:lineRule="auto"/>
              <w:ind w:left="60" w:right="60"/>
              <w:jc w:val="right"/>
              <w:rPr>
                <w:rFonts w:cs="Times New Roman"/>
                <w:color w:val="000000"/>
                <w:sz w:val="18"/>
                <w:szCs w:val="18"/>
              </w:rPr>
            </w:pPr>
            <w:r w:rsidRPr="00106BDB">
              <w:rPr>
                <w:rFonts w:cs="Times New Roman"/>
                <w:color w:val="000000"/>
                <w:sz w:val="18"/>
                <w:szCs w:val="18"/>
              </w:rPr>
              <w:t>54,824</w:t>
            </w:r>
          </w:p>
        </w:tc>
      </w:tr>
      <w:tr w:rsidR="00106BDB" w:rsidRPr="00106BDB" w:rsidTr="00106BDB">
        <w:tc>
          <w:tcPr>
            <w:tcW w:w="2444" w:type="pct"/>
          </w:tcPr>
          <w:p w:rsidR="00106BDB" w:rsidRPr="00106BDB" w:rsidRDefault="00106BDB" w:rsidP="00891126">
            <w:pPr>
              <w:autoSpaceDE w:val="0"/>
              <w:autoSpaceDN w:val="0"/>
              <w:adjustRightInd w:val="0"/>
              <w:spacing w:line="276" w:lineRule="auto"/>
              <w:ind w:right="60"/>
              <w:rPr>
                <w:rFonts w:cs="Times New Roman"/>
                <w:color w:val="000000"/>
                <w:sz w:val="18"/>
                <w:szCs w:val="18"/>
              </w:rPr>
            </w:pPr>
            <w:r w:rsidRPr="00106BDB">
              <w:rPr>
                <w:rFonts w:cs="Times New Roman"/>
                <w:color w:val="000000"/>
                <w:sz w:val="18"/>
                <w:szCs w:val="18"/>
              </w:rPr>
              <w:t>Institucional</w:t>
            </w:r>
          </w:p>
        </w:tc>
        <w:tc>
          <w:tcPr>
            <w:tcW w:w="2556" w:type="pct"/>
          </w:tcPr>
          <w:p w:rsidR="00106BDB" w:rsidRPr="00106BDB" w:rsidRDefault="00106BDB" w:rsidP="00891126">
            <w:pPr>
              <w:autoSpaceDE w:val="0"/>
              <w:autoSpaceDN w:val="0"/>
              <w:adjustRightInd w:val="0"/>
              <w:spacing w:line="276" w:lineRule="auto"/>
              <w:ind w:left="60" w:right="60"/>
              <w:jc w:val="right"/>
              <w:rPr>
                <w:rFonts w:cs="Times New Roman"/>
                <w:color w:val="000000"/>
                <w:sz w:val="18"/>
                <w:szCs w:val="18"/>
              </w:rPr>
            </w:pPr>
            <w:r w:rsidRPr="00106BDB">
              <w:rPr>
                <w:rFonts w:cs="Times New Roman"/>
                <w:color w:val="000000"/>
                <w:sz w:val="18"/>
                <w:szCs w:val="18"/>
              </w:rPr>
              <w:t>60,205</w:t>
            </w:r>
          </w:p>
        </w:tc>
      </w:tr>
      <w:tr w:rsidR="00106BDB" w:rsidRPr="00106BDB" w:rsidTr="00106BDB">
        <w:tc>
          <w:tcPr>
            <w:tcW w:w="2444" w:type="pct"/>
          </w:tcPr>
          <w:p w:rsidR="00106BDB" w:rsidRPr="00106BDB" w:rsidRDefault="00106BDB" w:rsidP="00891126">
            <w:pPr>
              <w:autoSpaceDE w:val="0"/>
              <w:autoSpaceDN w:val="0"/>
              <w:adjustRightInd w:val="0"/>
              <w:spacing w:line="276" w:lineRule="auto"/>
              <w:ind w:right="60"/>
              <w:rPr>
                <w:rFonts w:cs="Times New Roman"/>
                <w:color w:val="000000"/>
                <w:sz w:val="18"/>
                <w:szCs w:val="18"/>
              </w:rPr>
            </w:pPr>
            <w:r w:rsidRPr="00106BDB">
              <w:rPr>
                <w:rFonts w:cs="Times New Roman"/>
                <w:color w:val="000000"/>
                <w:sz w:val="18"/>
                <w:szCs w:val="18"/>
              </w:rPr>
              <w:t>Socio-familiar</w:t>
            </w:r>
          </w:p>
        </w:tc>
        <w:tc>
          <w:tcPr>
            <w:tcW w:w="2556" w:type="pct"/>
          </w:tcPr>
          <w:p w:rsidR="00106BDB" w:rsidRPr="00106BDB" w:rsidRDefault="00106BDB" w:rsidP="00891126">
            <w:pPr>
              <w:autoSpaceDE w:val="0"/>
              <w:autoSpaceDN w:val="0"/>
              <w:adjustRightInd w:val="0"/>
              <w:spacing w:line="276" w:lineRule="auto"/>
              <w:ind w:left="60" w:right="60"/>
              <w:jc w:val="right"/>
              <w:rPr>
                <w:rFonts w:cs="Times New Roman"/>
                <w:color w:val="000000"/>
                <w:sz w:val="18"/>
                <w:szCs w:val="18"/>
              </w:rPr>
            </w:pPr>
            <w:r w:rsidRPr="00106BDB">
              <w:rPr>
                <w:rFonts w:cs="Times New Roman"/>
                <w:color w:val="000000"/>
                <w:sz w:val="18"/>
                <w:szCs w:val="18"/>
              </w:rPr>
              <w:t>65,165</w:t>
            </w:r>
          </w:p>
        </w:tc>
      </w:tr>
      <w:tr w:rsidR="00106BDB" w:rsidRPr="00106BDB" w:rsidTr="00106BDB">
        <w:tc>
          <w:tcPr>
            <w:tcW w:w="2444" w:type="pct"/>
          </w:tcPr>
          <w:p w:rsidR="00106BDB" w:rsidRPr="00106BDB" w:rsidRDefault="00106BDB" w:rsidP="00891126">
            <w:pPr>
              <w:autoSpaceDE w:val="0"/>
              <w:autoSpaceDN w:val="0"/>
              <w:adjustRightInd w:val="0"/>
              <w:spacing w:line="276" w:lineRule="auto"/>
              <w:ind w:right="60"/>
              <w:rPr>
                <w:rFonts w:cs="Times New Roman"/>
                <w:color w:val="000000"/>
                <w:sz w:val="18"/>
                <w:szCs w:val="18"/>
              </w:rPr>
            </w:pPr>
            <w:r w:rsidRPr="00106BDB">
              <w:rPr>
                <w:rFonts w:cs="Times New Roman"/>
                <w:color w:val="000000"/>
                <w:sz w:val="18"/>
                <w:szCs w:val="18"/>
              </w:rPr>
              <w:t>Rendimiento académico</w:t>
            </w:r>
          </w:p>
        </w:tc>
        <w:tc>
          <w:tcPr>
            <w:tcW w:w="2556" w:type="pct"/>
          </w:tcPr>
          <w:p w:rsidR="00106BDB" w:rsidRPr="00106BDB" w:rsidRDefault="00106BDB" w:rsidP="00891126">
            <w:pPr>
              <w:autoSpaceDE w:val="0"/>
              <w:autoSpaceDN w:val="0"/>
              <w:adjustRightInd w:val="0"/>
              <w:spacing w:line="276" w:lineRule="auto"/>
              <w:ind w:left="60" w:right="60"/>
              <w:jc w:val="right"/>
              <w:rPr>
                <w:rFonts w:cs="Times New Roman"/>
                <w:color w:val="000000"/>
                <w:sz w:val="18"/>
                <w:szCs w:val="18"/>
              </w:rPr>
            </w:pPr>
            <w:r w:rsidRPr="00106BDB">
              <w:rPr>
                <w:rFonts w:cs="Times New Roman"/>
                <w:color w:val="000000"/>
                <w:sz w:val="18"/>
                <w:szCs w:val="18"/>
              </w:rPr>
              <w:t>69,380</w:t>
            </w:r>
          </w:p>
        </w:tc>
      </w:tr>
      <w:tr w:rsidR="00106BDB" w:rsidRPr="00106BDB" w:rsidTr="00106BDB">
        <w:trPr>
          <w:cnfStyle w:val="010000000000" w:firstRow="0" w:lastRow="1" w:firstColumn="0" w:lastColumn="0" w:oddVBand="0" w:evenVBand="0" w:oddHBand="0" w:evenHBand="0" w:firstRowFirstColumn="0" w:firstRowLastColumn="0" w:lastRowFirstColumn="0" w:lastRowLastColumn="0"/>
        </w:trPr>
        <w:tc>
          <w:tcPr>
            <w:tcW w:w="2444" w:type="pct"/>
          </w:tcPr>
          <w:p w:rsidR="00D158B3" w:rsidRDefault="00D158B3" w:rsidP="00891126">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 xml:space="preserve">Fuente: </w:t>
            </w:r>
            <w:r>
              <w:rPr>
                <w:rFonts w:eastAsia="Times New Roman" w:cs="Times New Roman"/>
                <w:b w:val="0"/>
                <w:sz w:val="20"/>
                <w:szCs w:val="20"/>
                <w:lang w:eastAsia="es-EC"/>
              </w:rPr>
              <w:t>grupo objetivo</w:t>
            </w:r>
          </w:p>
          <w:p w:rsidR="00106BDB" w:rsidRPr="00106BDB" w:rsidRDefault="00D158B3" w:rsidP="00891126">
            <w:pPr>
              <w:autoSpaceDE w:val="0"/>
              <w:autoSpaceDN w:val="0"/>
              <w:adjustRightInd w:val="0"/>
              <w:spacing w:line="276" w:lineRule="auto"/>
              <w:ind w:right="60"/>
              <w:rPr>
                <w:rFonts w:cs="Times New Roman"/>
                <w:color w:val="000000"/>
                <w:sz w:val="18"/>
                <w:szCs w:val="18"/>
              </w:rPr>
            </w:pPr>
            <w:r w:rsidRPr="002D7D3F">
              <w:rPr>
                <w:rFonts w:eastAsia="Times New Roman" w:cs="Times New Roman"/>
                <w:b w:val="0"/>
                <w:sz w:val="20"/>
                <w:szCs w:val="20"/>
                <w:lang w:eastAsia="es-EC"/>
              </w:rPr>
              <w:t>Elaboración con XLSTAT</w:t>
            </w:r>
          </w:p>
        </w:tc>
        <w:tc>
          <w:tcPr>
            <w:tcW w:w="2556" w:type="pct"/>
          </w:tcPr>
          <w:p w:rsidR="00106BDB" w:rsidRPr="00106BDB" w:rsidRDefault="00106BDB" w:rsidP="00891126">
            <w:pPr>
              <w:autoSpaceDE w:val="0"/>
              <w:autoSpaceDN w:val="0"/>
              <w:adjustRightInd w:val="0"/>
              <w:spacing w:line="276" w:lineRule="auto"/>
              <w:ind w:left="60" w:right="60"/>
              <w:jc w:val="right"/>
              <w:rPr>
                <w:rFonts w:cs="Times New Roman"/>
                <w:color w:val="000000"/>
                <w:sz w:val="18"/>
                <w:szCs w:val="18"/>
              </w:rPr>
            </w:pPr>
          </w:p>
        </w:tc>
      </w:tr>
    </w:tbl>
    <w:p w:rsidR="00500A4D" w:rsidRDefault="00216475" w:rsidP="00891126">
      <w:pPr>
        <w:autoSpaceDE w:val="0"/>
        <w:autoSpaceDN w:val="0"/>
        <w:adjustRightInd w:val="0"/>
        <w:spacing w:before="240" w:after="0" w:line="276" w:lineRule="auto"/>
        <w:jc w:val="both"/>
        <w:rPr>
          <w:rFonts w:cs="Times New Roman"/>
          <w:sz w:val="24"/>
          <w:szCs w:val="24"/>
        </w:rPr>
      </w:pPr>
      <w:r>
        <w:rPr>
          <w:rFonts w:cs="Times New Roman"/>
          <w:sz w:val="24"/>
          <w:szCs w:val="24"/>
        </w:rPr>
        <w:t>Los resultados de la bondad de ajuste del modelo lineal PLS</w:t>
      </w:r>
      <w:r w:rsidR="008A4EEF">
        <w:rPr>
          <w:rFonts w:cs="Times New Roman"/>
          <w:sz w:val="24"/>
          <w:szCs w:val="24"/>
        </w:rPr>
        <w:t xml:space="preserve"> (ver tabla 7)</w:t>
      </w:r>
      <w:r w:rsidR="008A25D7">
        <w:rPr>
          <w:rFonts w:cs="Times New Roman"/>
          <w:sz w:val="24"/>
          <w:szCs w:val="24"/>
        </w:rPr>
        <w:t xml:space="preserve"> muestra el modelo de referencia </w:t>
      </w:r>
      <w:r w:rsidR="00B04CDF">
        <w:rPr>
          <w:rFonts w:cs="Times New Roman"/>
          <w:sz w:val="24"/>
          <w:szCs w:val="24"/>
        </w:rPr>
        <w:t>versus el modelo de ap</w:t>
      </w:r>
      <w:r w:rsidR="00397715">
        <w:rPr>
          <w:rFonts w:cs="Times New Roman"/>
          <w:sz w:val="24"/>
          <w:szCs w:val="24"/>
        </w:rPr>
        <w:t xml:space="preserve">roximación estructural (SEM) los resultados se encuentran por debajo de 0.08, de ahí que existe un ajuste importante respecto de la división de los </w:t>
      </w:r>
      <w:r w:rsidR="00397715">
        <w:rPr>
          <w:rFonts w:cs="Times New Roman"/>
          <w:sz w:val="24"/>
          <w:szCs w:val="24"/>
        </w:rPr>
        <w:t>grados de libertad, de esta manera se compensa el efecto de complejidad del modelo. (</w:t>
      </w:r>
      <w:proofErr w:type="spellStart"/>
      <w:r w:rsidR="00397715">
        <w:rPr>
          <w:rFonts w:cs="Times New Roman"/>
          <w:sz w:val="24"/>
          <w:szCs w:val="24"/>
        </w:rPr>
        <w:t>Steiger</w:t>
      </w:r>
      <w:proofErr w:type="spellEnd"/>
      <w:r w:rsidR="00397715">
        <w:rPr>
          <w:rFonts w:cs="Times New Roman"/>
          <w:sz w:val="24"/>
          <w:szCs w:val="24"/>
        </w:rPr>
        <w:t xml:space="preserve"> y </w:t>
      </w:r>
      <w:proofErr w:type="spellStart"/>
      <w:r w:rsidR="00397715">
        <w:rPr>
          <w:rFonts w:cs="Times New Roman"/>
          <w:sz w:val="24"/>
          <w:szCs w:val="24"/>
        </w:rPr>
        <w:t>Lind</w:t>
      </w:r>
      <w:proofErr w:type="spellEnd"/>
      <w:r w:rsidR="00397715">
        <w:rPr>
          <w:rFonts w:cs="Times New Roman"/>
          <w:sz w:val="24"/>
          <w:szCs w:val="24"/>
        </w:rPr>
        <w:t xml:space="preserve"> (1980) citados en  </w:t>
      </w:r>
      <w:sdt>
        <w:sdtPr>
          <w:rPr>
            <w:rFonts w:cs="Times New Roman"/>
            <w:sz w:val="24"/>
            <w:szCs w:val="24"/>
          </w:rPr>
          <w:id w:val="131527452"/>
          <w:citation/>
        </w:sdtPr>
        <w:sdtContent>
          <w:r w:rsidR="00397715">
            <w:rPr>
              <w:rFonts w:cs="Times New Roman"/>
              <w:sz w:val="24"/>
              <w:szCs w:val="24"/>
            </w:rPr>
            <w:fldChar w:fldCharType="begin"/>
          </w:r>
          <w:r w:rsidR="00397715">
            <w:rPr>
              <w:rFonts w:cs="Times New Roman"/>
              <w:sz w:val="24"/>
              <w:szCs w:val="24"/>
            </w:rPr>
            <w:instrText xml:space="preserve"> CITATION Mon14 \l 12298 </w:instrText>
          </w:r>
          <w:r w:rsidR="00397715">
            <w:rPr>
              <w:rFonts w:cs="Times New Roman"/>
              <w:sz w:val="24"/>
              <w:szCs w:val="24"/>
            </w:rPr>
            <w:fldChar w:fldCharType="separate"/>
          </w:r>
          <w:r w:rsidR="00A4238C" w:rsidRPr="00A4238C">
            <w:rPr>
              <w:rFonts w:cs="Times New Roman"/>
              <w:noProof/>
              <w:sz w:val="24"/>
              <w:szCs w:val="24"/>
            </w:rPr>
            <w:t>(Montaño, 2014)</w:t>
          </w:r>
          <w:r w:rsidR="00397715">
            <w:rPr>
              <w:rFonts w:cs="Times New Roman"/>
              <w:sz w:val="24"/>
              <w:szCs w:val="24"/>
            </w:rPr>
            <w:fldChar w:fldCharType="end"/>
          </w:r>
        </w:sdtContent>
      </w:sdt>
      <w:r w:rsidR="00397715">
        <w:rPr>
          <w:rFonts w:cs="Times New Roman"/>
          <w:sz w:val="24"/>
          <w:szCs w:val="24"/>
        </w:rPr>
        <w:t>)</w:t>
      </w:r>
    </w:p>
    <w:p w:rsidR="00D276FB" w:rsidRDefault="00D276FB" w:rsidP="00891126">
      <w:pPr>
        <w:autoSpaceDE w:val="0"/>
        <w:autoSpaceDN w:val="0"/>
        <w:adjustRightInd w:val="0"/>
        <w:spacing w:after="0" w:line="276" w:lineRule="auto"/>
        <w:rPr>
          <w:rFonts w:cs="Times New Roman"/>
          <w:sz w:val="24"/>
          <w:szCs w:val="24"/>
        </w:rPr>
      </w:pPr>
    </w:p>
    <w:p w:rsidR="00D158B3" w:rsidRDefault="00D158B3" w:rsidP="00891126">
      <w:pPr>
        <w:pStyle w:val="Descripcin"/>
        <w:spacing w:line="276" w:lineRule="auto"/>
      </w:pPr>
      <w:r>
        <w:t xml:space="preserve">Tabla </w:t>
      </w:r>
      <w:r w:rsidR="00CA344C">
        <w:rPr>
          <w:noProof/>
        </w:rPr>
        <w:fldChar w:fldCharType="begin"/>
      </w:r>
      <w:r w:rsidR="00CA344C">
        <w:rPr>
          <w:noProof/>
        </w:rPr>
        <w:instrText xml:space="preserve"> SEQ Tabla \* ARABIC </w:instrText>
      </w:r>
      <w:r w:rsidR="00CA344C">
        <w:rPr>
          <w:noProof/>
        </w:rPr>
        <w:fldChar w:fldCharType="separate"/>
      </w:r>
      <w:r w:rsidR="00B71B71">
        <w:rPr>
          <w:noProof/>
        </w:rPr>
        <w:t>7</w:t>
      </w:r>
      <w:r w:rsidR="00CA344C">
        <w:rPr>
          <w:noProof/>
        </w:rPr>
        <w:fldChar w:fldCharType="end"/>
      </w:r>
      <w:r>
        <w:t xml:space="preserve">. </w:t>
      </w:r>
    </w:p>
    <w:p w:rsidR="00D158B3" w:rsidRDefault="00D158B3" w:rsidP="00891126">
      <w:pPr>
        <w:pStyle w:val="Descripcin"/>
        <w:spacing w:line="276" w:lineRule="auto"/>
      </w:pPr>
      <w:r>
        <w:t xml:space="preserve">Bondad de </w:t>
      </w:r>
      <w:proofErr w:type="gramStart"/>
      <w:r>
        <w:t>ajuste(</w:t>
      </w:r>
      <w:proofErr w:type="gramEnd"/>
      <w:r>
        <w:t>PLS-SEM)</w:t>
      </w:r>
    </w:p>
    <w:tbl>
      <w:tblPr>
        <w:tblStyle w:val="Tablanormal2"/>
        <w:tblW w:w="5000" w:type="pct"/>
        <w:tblLook w:val="06E0" w:firstRow="1" w:lastRow="1" w:firstColumn="1" w:lastColumn="0" w:noHBand="1" w:noVBand="1"/>
      </w:tblPr>
      <w:tblGrid>
        <w:gridCol w:w="1290"/>
        <w:gridCol w:w="1133"/>
        <w:gridCol w:w="950"/>
        <w:gridCol w:w="596"/>
      </w:tblGrid>
      <w:tr w:rsidR="00D96261" w:rsidRPr="00D158B3" w:rsidTr="00D158B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jc w:val="center"/>
              <w:rPr>
                <w:rFonts w:eastAsia="Times New Roman" w:cs="Times New Roman"/>
                <w:sz w:val="20"/>
                <w:szCs w:val="20"/>
                <w:lang w:eastAsia="es-EC"/>
              </w:rPr>
            </w:pPr>
            <w:r w:rsidRPr="00D158B3">
              <w:rPr>
                <w:rFonts w:eastAsia="Times New Roman" w:cs="Times New Roman"/>
                <w:sz w:val="20"/>
                <w:szCs w:val="20"/>
                <w:lang w:eastAsia="es-EC"/>
              </w:rPr>
              <w:t>Índice</w:t>
            </w:r>
          </w:p>
        </w:tc>
        <w:tc>
          <w:tcPr>
            <w:tcW w:w="1538" w:type="pct"/>
            <w:noWrap/>
            <w:hideMark/>
          </w:tcPr>
          <w:p w:rsidR="00D96261" w:rsidRPr="00D158B3" w:rsidRDefault="00D96261" w:rsidP="00891126">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Modelo de referencia</w:t>
            </w:r>
          </w:p>
        </w:tc>
        <w:tc>
          <w:tcPr>
            <w:tcW w:w="1220" w:type="pct"/>
            <w:noWrap/>
            <w:hideMark/>
          </w:tcPr>
          <w:p w:rsidR="00D96261" w:rsidRPr="00D158B3" w:rsidRDefault="00D96261" w:rsidP="00891126">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Modelo saturado</w:t>
            </w:r>
          </w:p>
        </w:tc>
        <w:tc>
          <w:tcPr>
            <w:tcW w:w="995" w:type="pct"/>
            <w:noWrap/>
            <w:hideMark/>
          </w:tcPr>
          <w:p w:rsidR="00D96261" w:rsidRPr="00D158B3" w:rsidRDefault="00D96261" w:rsidP="00891126">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Modelo</w:t>
            </w:r>
          </w:p>
        </w:tc>
      </w:tr>
      <w:tr w:rsidR="00D96261" w:rsidRPr="00D158B3" w:rsidTr="00D158B3">
        <w:trPr>
          <w:trHeight w:val="255"/>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rPr>
                <w:rFonts w:eastAsia="Times New Roman" w:cs="Times New Roman"/>
                <w:sz w:val="20"/>
                <w:szCs w:val="20"/>
                <w:lang w:eastAsia="es-EC"/>
              </w:rPr>
            </w:pPr>
            <w:r w:rsidRPr="00D158B3">
              <w:rPr>
                <w:rFonts w:eastAsia="Times New Roman" w:cs="Times New Roman"/>
                <w:sz w:val="20"/>
                <w:szCs w:val="20"/>
                <w:lang w:eastAsia="es-EC"/>
              </w:rPr>
              <w:t>SRMR</w:t>
            </w:r>
          </w:p>
        </w:tc>
        <w:tc>
          <w:tcPr>
            <w:tcW w:w="1538"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0,125</w:t>
            </w:r>
          </w:p>
        </w:tc>
        <w:tc>
          <w:tcPr>
            <w:tcW w:w="1220"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0,071</w:t>
            </w:r>
          </w:p>
        </w:tc>
        <w:tc>
          <w:tcPr>
            <w:tcW w:w="995"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0,071</w:t>
            </w:r>
          </w:p>
        </w:tc>
      </w:tr>
      <w:tr w:rsidR="00D96261" w:rsidRPr="00D158B3" w:rsidTr="00D158B3">
        <w:trPr>
          <w:trHeight w:val="255"/>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rPr>
                <w:rFonts w:eastAsia="Times New Roman" w:cs="Times New Roman"/>
                <w:sz w:val="20"/>
                <w:szCs w:val="20"/>
                <w:lang w:eastAsia="es-EC"/>
              </w:rPr>
            </w:pPr>
            <w:proofErr w:type="spellStart"/>
            <w:r w:rsidRPr="00D158B3">
              <w:rPr>
                <w:rFonts w:eastAsia="Times New Roman" w:cs="Times New Roman"/>
                <w:sz w:val="20"/>
                <w:szCs w:val="20"/>
                <w:lang w:eastAsia="es-EC"/>
              </w:rPr>
              <w:t>d_ULS</w:t>
            </w:r>
            <w:proofErr w:type="spellEnd"/>
          </w:p>
        </w:tc>
        <w:tc>
          <w:tcPr>
            <w:tcW w:w="1538"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27,527</w:t>
            </w:r>
          </w:p>
        </w:tc>
        <w:tc>
          <w:tcPr>
            <w:tcW w:w="1220"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8,931</w:t>
            </w:r>
          </w:p>
        </w:tc>
        <w:tc>
          <w:tcPr>
            <w:tcW w:w="995"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8,931</w:t>
            </w:r>
          </w:p>
        </w:tc>
      </w:tr>
      <w:tr w:rsidR="00D96261" w:rsidRPr="00D158B3" w:rsidTr="00D158B3">
        <w:trPr>
          <w:trHeight w:val="255"/>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rPr>
                <w:rFonts w:eastAsia="Times New Roman" w:cs="Times New Roman"/>
                <w:sz w:val="20"/>
                <w:szCs w:val="20"/>
                <w:lang w:eastAsia="es-EC"/>
              </w:rPr>
            </w:pPr>
            <w:proofErr w:type="spellStart"/>
            <w:r w:rsidRPr="00D158B3">
              <w:rPr>
                <w:rFonts w:eastAsia="Times New Roman" w:cs="Times New Roman"/>
                <w:sz w:val="20"/>
                <w:szCs w:val="20"/>
                <w:lang w:eastAsia="es-EC"/>
              </w:rPr>
              <w:t>d_G</w:t>
            </w:r>
            <w:proofErr w:type="spellEnd"/>
          </w:p>
        </w:tc>
        <w:tc>
          <w:tcPr>
            <w:tcW w:w="1538"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5,548</w:t>
            </w:r>
          </w:p>
        </w:tc>
        <w:tc>
          <w:tcPr>
            <w:tcW w:w="1220"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5,248</w:t>
            </w:r>
          </w:p>
        </w:tc>
        <w:tc>
          <w:tcPr>
            <w:tcW w:w="995"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5,248</w:t>
            </w:r>
          </w:p>
        </w:tc>
      </w:tr>
      <w:tr w:rsidR="00D96261" w:rsidRPr="00D158B3" w:rsidTr="00D158B3">
        <w:trPr>
          <w:trHeight w:val="255"/>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rPr>
                <w:rFonts w:eastAsia="Times New Roman" w:cs="Times New Roman"/>
                <w:sz w:val="20"/>
                <w:szCs w:val="20"/>
                <w:lang w:eastAsia="es-EC"/>
              </w:rPr>
            </w:pPr>
            <w:r w:rsidRPr="00D158B3">
              <w:rPr>
                <w:rFonts w:eastAsia="Times New Roman" w:cs="Times New Roman"/>
                <w:sz w:val="20"/>
                <w:szCs w:val="20"/>
                <w:lang w:eastAsia="es-EC"/>
              </w:rPr>
              <w:t>Verosimilitud</w:t>
            </w:r>
          </w:p>
        </w:tc>
        <w:tc>
          <w:tcPr>
            <w:tcW w:w="1538"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14,754</w:t>
            </w:r>
          </w:p>
        </w:tc>
        <w:tc>
          <w:tcPr>
            <w:tcW w:w="1220"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10,876</w:t>
            </w:r>
          </w:p>
        </w:tc>
        <w:tc>
          <w:tcPr>
            <w:tcW w:w="995"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10,876</w:t>
            </w:r>
          </w:p>
        </w:tc>
      </w:tr>
      <w:tr w:rsidR="00D96261" w:rsidRPr="00D158B3" w:rsidTr="00D158B3">
        <w:trPr>
          <w:trHeight w:val="255"/>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rPr>
                <w:rFonts w:eastAsia="Times New Roman" w:cs="Times New Roman"/>
                <w:sz w:val="20"/>
                <w:szCs w:val="20"/>
                <w:lang w:eastAsia="es-EC"/>
              </w:rPr>
            </w:pPr>
            <w:r w:rsidRPr="00D158B3">
              <w:rPr>
                <w:rFonts w:eastAsia="Times New Roman" w:cs="Times New Roman"/>
                <w:sz w:val="20"/>
                <w:szCs w:val="20"/>
                <w:lang w:eastAsia="es-EC"/>
              </w:rPr>
              <w:t>Chi-cuadrado</w:t>
            </w:r>
          </w:p>
        </w:tc>
        <w:tc>
          <w:tcPr>
            <w:tcW w:w="1538"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3009,849</w:t>
            </w:r>
          </w:p>
        </w:tc>
        <w:tc>
          <w:tcPr>
            <w:tcW w:w="1220"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2218,728</w:t>
            </w:r>
          </w:p>
        </w:tc>
        <w:tc>
          <w:tcPr>
            <w:tcW w:w="995"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2218,728</w:t>
            </w:r>
          </w:p>
        </w:tc>
      </w:tr>
      <w:tr w:rsidR="00D96261" w:rsidRPr="00D158B3" w:rsidTr="00D158B3">
        <w:trPr>
          <w:trHeight w:val="255"/>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rPr>
                <w:rFonts w:eastAsia="Times New Roman" w:cs="Times New Roman"/>
                <w:sz w:val="20"/>
                <w:szCs w:val="20"/>
                <w:lang w:eastAsia="es-EC"/>
              </w:rPr>
            </w:pPr>
            <w:r w:rsidRPr="00D158B3">
              <w:rPr>
                <w:rFonts w:eastAsia="Times New Roman" w:cs="Times New Roman"/>
                <w:sz w:val="20"/>
                <w:szCs w:val="20"/>
                <w:lang w:eastAsia="es-EC"/>
              </w:rPr>
              <w:t>GL</w:t>
            </w:r>
          </w:p>
        </w:tc>
        <w:tc>
          <w:tcPr>
            <w:tcW w:w="1538"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1770,000</w:t>
            </w:r>
          </w:p>
        </w:tc>
        <w:tc>
          <w:tcPr>
            <w:tcW w:w="1220"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1701,000</w:t>
            </w:r>
          </w:p>
        </w:tc>
        <w:tc>
          <w:tcPr>
            <w:tcW w:w="995"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1760,000</w:t>
            </w:r>
          </w:p>
        </w:tc>
      </w:tr>
      <w:tr w:rsidR="00D96261" w:rsidRPr="00D158B3" w:rsidTr="00D158B3">
        <w:trPr>
          <w:trHeight w:val="270"/>
        </w:trPr>
        <w:tc>
          <w:tcPr>
            <w:cnfStyle w:val="001000000000" w:firstRow="0" w:lastRow="0" w:firstColumn="1" w:lastColumn="0" w:oddVBand="0" w:evenVBand="0" w:oddHBand="0" w:evenHBand="0" w:firstRowFirstColumn="0" w:firstRowLastColumn="0" w:lastRowFirstColumn="0" w:lastRowLastColumn="0"/>
            <w:tcW w:w="1247" w:type="pct"/>
            <w:noWrap/>
            <w:hideMark/>
          </w:tcPr>
          <w:p w:rsidR="00D96261" w:rsidRPr="00D158B3" w:rsidRDefault="00D96261" w:rsidP="00891126">
            <w:pPr>
              <w:spacing w:line="276" w:lineRule="auto"/>
              <w:rPr>
                <w:rFonts w:eastAsia="Times New Roman" w:cs="Times New Roman"/>
                <w:sz w:val="20"/>
                <w:szCs w:val="20"/>
                <w:lang w:eastAsia="es-EC"/>
              </w:rPr>
            </w:pPr>
            <w:r w:rsidRPr="00D158B3">
              <w:rPr>
                <w:rFonts w:eastAsia="Times New Roman" w:cs="Times New Roman"/>
                <w:sz w:val="20"/>
                <w:szCs w:val="20"/>
                <w:lang w:eastAsia="es-EC"/>
              </w:rPr>
              <w:t>Chi-cuadrado/GL</w:t>
            </w:r>
          </w:p>
        </w:tc>
        <w:tc>
          <w:tcPr>
            <w:tcW w:w="1538"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1,700</w:t>
            </w:r>
          </w:p>
        </w:tc>
        <w:tc>
          <w:tcPr>
            <w:tcW w:w="1220"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1,304</w:t>
            </w:r>
          </w:p>
        </w:tc>
        <w:tc>
          <w:tcPr>
            <w:tcW w:w="995" w:type="pct"/>
            <w:noWrap/>
            <w:hideMark/>
          </w:tcPr>
          <w:p w:rsidR="00D96261" w:rsidRPr="00D158B3" w:rsidRDefault="00D96261" w:rsidP="00891126">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es-EC"/>
              </w:rPr>
            </w:pPr>
            <w:r w:rsidRPr="00D158B3">
              <w:rPr>
                <w:rFonts w:eastAsia="Times New Roman" w:cs="Times New Roman"/>
                <w:sz w:val="20"/>
                <w:szCs w:val="20"/>
                <w:lang w:eastAsia="es-EC"/>
              </w:rPr>
              <w:t>1,261</w:t>
            </w:r>
          </w:p>
        </w:tc>
      </w:tr>
      <w:tr w:rsidR="00D158B3" w:rsidRPr="00D158B3" w:rsidTr="00D158B3">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7" w:type="pct"/>
            <w:noWrap/>
          </w:tcPr>
          <w:p w:rsidR="00D158B3" w:rsidRDefault="00D158B3" w:rsidP="00891126">
            <w:pPr>
              <w:spacing w:line="276" w:lineRule="auto"/>
              <w:rPr>
                <w:rFonts w:eastAsia="Times New Roman" w:cs="Times New Roman"/>
                <w:b w:val="0"/>
                <w:sz w:val="20"/>
                <w:szCs w:val="20"/>
                <w:lang w:eastAsia="es-EC"/>
              </w:rPr>
            </w:pPr>
            <w:r w:rsidRPr="002D7D3F">
              <w:rPr>
                <w:rFonts w:eastAsia="Times New Roman" w:cs="Times New Roman"/>
                <w:b w:val="0"/>
                <w:sz w:val="20"/>
                <w:szCs w:val="20"/>
                <w:lang w:eastAsia="es-EC"/>
              </w:rPr>
              <w:t xml:space="preserve">Fuente: </w:t>
            </w:r>
            <w:r>
              <w:rPr>
                <w:rFonts w:eastAsia="Times New Roman" w:cs="Times New Roman"/>
                <w:b w:val="0"/>
                <w:sz w:val="20"/>
                <w:szCs w:val="20"/>
                <w:lang w:eastAsia="es-EC"/>
              </w:rPr>
              <w:t>grupo objetivo</w:t>
            </w:r>
          </w:p>
          <w:p w:rsidR="00D158B3" w:rsidRPr="00D158B3" w:rsidRDefault="00D158B3" w:rsidP="00891126">
            <w:pPr>
              <w:spacing w:line="276" w:lineRule="auto"/>
              <w:rPr>
                <w:rFonts w:eastAsia="Times New Roman" w:cs="Times New Roman"/>
                <w:sz w:val="20"/>
                <w:szCs w:val="20"/>
                <w:lang w:eastAsia="es-EC"/>
              </w:rPr>
            </w:pPr>
            <w:r w:rsidRPr="002D7D3F">
              <w:rPr>
                <w:rFonts w:eastAsia="Times New Roman" w:cs="Times New Roman"/>
                <w:b w:val="0"/>
                <w:sz w:val="20"/>
                <w:szCs w:val="20"/>
                <w:lang w:eastAsia="es-EC"/>
              </w:rPr>
              <w:t>Elaboración con XLSTAT</w:t>
            </w:r>
          </w:p>
        </w:tc>
        <w:tc>
          <w:tcPr>
            <w:tcW w:w="1538" w:type="pct"/>
            <w:noWrap/>
          </w:tcPr>
          <w:p w:rsidR="00D158B3" w:rsidRPr="00D158B3" w:rsidRDefault="00D158B3" w:rsidP="00891126">
            <w:pPr>
              <w:spacing w:line="276" w:lineRule="auto"/>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20"/>
                <w:szCs w:val="20"/>
                <w:lang w:eastAsia="es-EC"/>
              </w:rPr>
            </w:pPr>
          </w:p>
        </w:tc>
        <w:tc>
          <w:tcPr>
            <w:tcW w:w="1220" w:type="pct"/>
            <w:noWrap/>
          </w:tcPr>
          <w:p w:rsidR="00D158B3" w:rsidRPr="00D158B3" w:rsidRDefault="00D158B3" w:rsidP="00891126">
            <w:pPr>
              <w:spacing w:line="276" w:lineRule="auto"/>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20"/>
                <w:szCs w:val="20"/>
                <w:lang w:eastAsia="es-EC"/>
              </w:rPr>
            </w:pPr>
          </w:p>
        </w:tc>
        <w:tc>
          <w:tcPr>
            <w:tcW w:w="995" w:type="pct"/>
            <w:noWrap/>
          </w:tcPr>
          <w:p w:rsidR="00D158B3" w:rsidRPr="00D158B3" w:rsidRDefault="00D158B3" w:rsidP="00891126">
            <w:pPr>
              <w:spacing w:line="276" w:lineRule="auto"/>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20"/>
                <w:szCs w:val="20"/>
                <w:lang w:eastAsia="es-EC"/>
              </w:rPr>
            </w:pPr>
          </w:p>
        </w:tc>
      </w:tr>
    </w:tbl>
    <w:p w:rsidR="00B0165B" w:rsidRDefault="00B0165B" w:rsidP="00891126">
      <w:pPr>
        <w:autoSpaceDE w:val="0"/>
        <w:autoSpaceDN w:val="0"/>
        <w:adjustRightInd w:val="0"/>
        <w:spacing w:after="0" w:line="276" w:lineRule="auto"/>
        <w:jc w:val="both"/>
        <w:rPr>
          <w:rFonts w:cs="Times New Roman"/>
          <w:sz w:val="24"/>
          <w:szCs w:val="24"/>
        </w:rPr>
      </w:pPr>
    </w:p>
    <w:p w:rsidR="00D96261" w:rsidRDefault="00042D84" w:rsidP="00891126">
      <w:pPr>
        <w:autoSpaceDE w:val="0"/>
        <w:autoSpaceDN w:val="0"/>
        <w:adjustRightInd w:val="0"/>
        <w:spacing w:after="0" w:line="276" w:lineRule="auto"/>
        <w:jc w:val="both"/>
        <w:rPr>
          <w:rFonts w:cs="Times New Roman"/>
          <w:sz w:val="24"/>
          <w:szCs w:val="24"/>
        </w:rPr>
      </w:pPr>
      <w:r>
        <w:rPr>
          <w:rFonts w:cs="Times New Roman"/>
          <w:sz w:val="24"/>
          <w:szCs w:val="24"/>
        </w:rPr>
        <w:t>En resumen, los principales factores asociados al rendimiento académico son la dimensión institucional, pedagógica y l</w:t>
      </w:r>
      <w:r w:rsidR="00586675">
        <w:rPr>
          <w:rFonts w:cs="Times New Roman"/>
          <w:sz w:val="24"/>
          <w:szCs w:val="24"/>
        </w:rPr>
        <w:t>as condiciones socio-familiares, por la capacidad explicativa de la varianza explicada en apartados anteriormente.</w:t>
      </w:r>
    </w:p>
    <w:p w:rsidR="00891126" w:rsidRPr="00891126" w:rsidRDefault="00891126" w:rsidP="00891126">
      <w:pPr>
        <w:autoSpaceDE w:val="0"/>
        <w:autoSpaceDN w:val="0"/>
        <w:adjustRightInd w:val="0"/>
        <w:spacing w:after="0" w:line="276" w:lineRule="auto"/>
        <w:jc w:val="both"/>
        <w:rPr>
          <w:rFonts w:cs="Times New Roman"/>
          <w:b/>
          <w:sz w:val="24"/>
          <w:szCs w:val="24"/>
        </w:rPr>
      </w:pPr>
      <w:r>
        <w:rPr>
          <w:rFonts w:cs="Times New Roman"/>
          <w:b/>
          <w:sz w:val="24"/>
          <w:szCs w:val="24"/>
        </w:rPr>
        <w:t>Discusión</w:t>
      </w:r>
    </w:p>
    <w:p w:rsidR="00500A4D" w:rsidRDefault="009C6D35" w:rsidP="00921109">
      <w:pPr>
        <w:autoSpaceDE w:val="0"/>
        <w:autoSpaceDN w:val="0"/>
        <w:adjustRightInd w:val="0"/>
        <w:spacing w:after="0" w:line="276" w:lineRule="auto"/>
        <w:jc w:val="both"/>
        <w:rPr>
          <w:rFonts w:cs="Times New Roman"/>
          <w:sz w:val="24"/>
          <w:szCs w:val="24"/>
        </w:rPr>
      </w:pPr>
      <w:r>
        <w:rPr>
          <w:rFonts w:cs="Times New Roman"/>
          <w:sz w:val="24"/>
          <w:szCs w:val="24"/>
        </w:rPr>
        <w:t xml:space="preserve">El propósito de este trabajo era confirmar la hipótesis planteada al inicio, resultados que coinciden con </w:t>
      </w:r>
      <w:sdt>
        <w:sdtPr>
          <w:rPr>
            <w:rFonts w:cs="Times New Roman"/>
            <w:sz w:val="24"/>
            <w:szCs w:val="24"/>
          </w:rPr>
          <w:id w:val="-840245246"/>
          <w:citation/>
        </w:sdtPr>
        <w:sdtContent>
          <w:r>
            <w:rPr>
              <w:rFonts w:cs="Times New Roman"/>
              <w:sz w:val="24"/>
              <w:szCs w:val="24"/>
            </w:rPr>
            <w:fldChar w:fldCharType="begin"/>
          </w:r>
          <w:r>
            <w:rPr>
              <w:rFonts w:cs="Times New Roman"/>
              <w:sz w:val="24"/>
              <w:szCs w:val="24"/>
            </w:rPr>
            <w:instrText xml:space="preserve"> CITATION Vél17 \l 12298 </w:instrText>
          </w:r>
          <w:r>
            <w:rPr>
              <w:rFonts w:cs="Times New Roman"/>
              <w:sz w:val="24"/>
              <w:szCs w:val="24"/>
            </w:rPr>
            <w:fldChar w:fldCharType="separate"/>
          </w:r>
          <w:r w:rsidR="00A4238C" w:rsidRPr="00A4238C">
            <w:rPr>
              <w:rFonts w:cs="Times New Roman"/>
              <w:noProof/>
              <w:sz w:val="24"/>
              <w:szCs w:val="24"/>
            </w:rPr>
            <w:t xml:space="preserve">(Velázquez Narváez, </w:t>
          </w:r>
          <w:r w:rsidR="00A4238C" w:rsidRPr="00A4238C">
            <w:rPr>
              <w:rFonts w:cs="Times New Roman"/>
              <w:noProof/>
              <w:sz w:val="24"/>
              <w:szCs w:val="24"/>
            </w:rPr>
            <w:lastRenderedPageBreak/>
            <w:t>Medina, &amp; Mario, 2017)</w:t>
          </w:r>
          <w:r>
            <w:rPr>
              <w:rFonts w:cs="Times New Roman"/>
              <w:sz w:val="24"/>
              <w:szCs w:val="24"/>
            </w:rPr>
            <w:fldChar w:fldCharType="end"/>
          </w:r>
        </w:sdtContent>
      </w:sdt>
      <w:r w:rsidR="008B3F1E">
        <w:rPr>
          <w:rFonts w:cs="Times New Roman"/>
          <w:sz w:val="24"/>
          <w:szCs w:val="24"/>
        </w:rPr>
        <w:t xml:space="preserve"> respecto de la causalidad entre las variables de trabajo.</w:t>
      </w:r>
    </w:p>
    <w:p w:rsidR="006956E7" w:rsidRDefault="009F4804" w:rsidP="00DC4C7B">
      <w:pPr>
        <w:autoSpaceDE w:val="0"/>
        <w:autoSpaceDN w:val="0"/>
        <w:adjustRightInd w:val="0"/>
        <w:spacing w:after="0" w:line="276" w:lineRule="auto"/>
        <w:jc w:val="both"/>
        <w:rPr>
          <w:rFonts w:cs="Times New Roman"/>
          <w:sz w:val="24"/>
          <w:szCs w:val="24"/>
        </w:rPr>
      </w:pPr>
      <w:r>
        <w:rPr>
          <w:rFonts w:cs="Times New Roman"/>
          <w:sz w:val="24"/>
          <w:szCs w:val="24"/>
        </w:rPr>
        <w:t xml:space="preserve">Uno de los aspectos que llaman la atención se </w:t>
      </w:r>
      <w:proofErr w:type="gramStart"/>
      <w:r>
        <w:rPr>
          <w:rFonts w:cs="Times New Roman"/>
          <w:sz w:val="24"/>
          <w:szCs w:val="24"/>
        </w:rPr>
        <w:t>encuentran</w:t>
      </w:r>
      <w:proofErr w:type="gramEnd"/>
      <w:r>
        <w:rPr>
          <w:rFonts w:cs="Times New Roman"/>
          <w:sz w:val="24"/>
          <w:szCs w:val="24"/>
        </w:rPr>
        <w:t xml:space="preserve"> dentro de la dimensión institucional, respecto al sentido de pertenencia de los chicos respecto a la carrera que están cursando.</w:t>
      </w:r>
      <w:r w:rsidR="00921109">
        <w:rPr>
          <w:rFonts w:cs="Times New Roman"/>
          <w:sz w:val="24"/>
          <w:szCs w:val="24"/>
        </w:rPr>
        <w:t xml:space="preserve"> Podría considerarse como un factor de riesgo, por los elevados porcentajes de indiferencia (oscilan entre 19 y 20%)</w:t>
      </w:r>
      <w:r w:rsidR="005403B6">
        <w:rPr>
          <w:rFonts w:cs="Times New Roman"/>
          <w:sz w:val="24"/>
          <w:szCs w:val="24"/>
        </w:rPr>
        <w:t xml:space="preserve">, </w:t>
      </w:r>
      <w:sdt>
        <w:sdtPr>
          <w:rPr>
            <w:rFonts w:cs="Times New Roman"/>
            <w:sz w:val="24"/>
            <w:szCs w:val="24"/>
          </w:rPr>
          <w:id w:val="2036467144"/>
          <w:citation/>
        </w:sdtPr>
        <w:sdtContent>
          <w:r w:rsidR="00DC4C7B">
            <w:rPr>
              <w:rFonts w:cs="Times New Roman"/>
              <w:sz w:val="24"/>
              <w:szCs w:val="24"/>
            </w:rPr>
            <w:fldChar w:fldCharType="begin"/>
          </w:r>
          <w:r w:rsidR="00DC4C7B">
            <w:rPr>
              <w:rFonts w:cs="Times New Roman"/>
              <w:sz w:val="24"/>
              <w:szCs w:val="24"/>
            </w:rPr>
            <w:instrText xml:space="preserve"> CITATION Ede03 \l 12298 </w:instrText>
          </w:r>
          <w:r w:rsidR="00DC4C7B">
            <w:rPr>
              <w:rFonts w:cs="Times New Roman"/>
              <w:sz w:val="24"/>
              <w:szCs w:val="24"/>
            </w:rPr>
            <w:fldChar w:fldCharType="separate"/>
          </w:r>
          <w:r w:rsidR="00A4238C" w:rsidRPr="00A4238C">
            <w:rPr>
              <w:rFonts w:cs="Times New Roman"/>
              <w:noProof/>
              <w:sz w:val="24"/>
              <w:szCs w:val="24"/>
            </w:rPr>
            <w:t>(Edel, 2003)</w:t>
          </w:r>
          <w:r w:rsidR="00DC4C7B">
            <w:rPr>
              <w:rFonts w:cs="Times New Roman"/>
              <w:sz w:val="24"/>
              <w:szCs w:val="24"/>
            </w:rPr>
            <w:fldChar w:fldCharType="end"/>
          </w:r>
        </w:sdtContent>
      </w:sdt>
      <w:r w:rsidR="00DC4C7B">
        <w:rPr>
          <w:rFonts w:cs="Times New Roman"/>
          <w:sz w:val="24"/>
          <w:szCs w:val="24"/>
        </w:rPr>
        <w:t xml:space="preserve"> </w:t>
      </w:r>
      <w:sdt>
        <w:sdtPr>
          <w:rPr>
            <w:rFonts w:cs="Times New Roman"/>
            <w:sz w:val="24"/>
            <w:szCs w:val="24"/>
          </w:rPr>
          <w:id w:val="-396512713"/>
          <w:citation/>
        </w:sdtPr>
        <w:sdtContent>
          <w:r w:rsidR="00DC4C7B">
            <w:rPr>
              <w:rFonts w:cs="Times New Roman"/>
              <w:sz w:val="24"/>
              <w:szCs w:val="24"/>
            </w:rPr>
            <w:fldChar w:fldCharType="begin"/>
          </w:r>
          <w:r w:rsidR="00DC4C7B">
            <w:rPr>
              <w:rFonts w:cs="Times New Roman"/>
              <w:sz w:val="24"/>
              <w:szCs w:val="24"/>
            </w:rPr>
            <w:instrText xml:space="preserve"> CITATION Gar07 \l 12298 </w:instrText>
          </w:r>
          <w:r w:rsidR="00DC4C7B">
            <w:rPr>
              <w:rFonts w:cs="Times New Roman"/>
              <w:sz w:val="24"/>
              <w:szCs w:val="24"/>
            </w:rPr>
            <w:fldChar w:fldCharType="separate"/>
          </w:r>
          <w:r w:rsidR="00A4238C" w:rsidRPr="00A4238C">
            <w:rPr>
              <w:rFonts w:cs="Times New Roman"/>
              <w:noProof/>
              <w:sz w:val="24"/>
              <w:szCs w:val="24"/>
            </w:rPr>
            <w:t>(Garbanzo Vargas, 2007)</w:t>
          </w:r>
          <w:r w:rsidR="00DC4C7B">
            <w:rPr>
              <w:rFonts w:cs="Times New Roman"/>
              <w:sz w:val="24"/>
              <w:szCs w:val="24"/>
            </w:rPr>
            <w:fldChar w:fldCharType="end"/>
          </w:r>
        </w:sdtContent>
      </w:sdt>
      <w:r w:rsidR="006956E7">
        <w:rPr>
          <w:rFonts w:cs="Times New Roman"/>
          <w:sz w:val="24"/>
          <w:szCs w:val="24"/>
        </w:rPr>
        <w:t>.</w:t>
      </w:r>
      <w:r w:rsidR="00A00087">
        <w:rPr>
          <w:rFonts w:cs="Times New Roman"/>
          <w:sz w:val="24"/>
          <w:szCs w:val="24"/>
        </w:rPr>
        <w:t xml:space="preserve"> Respecto de las demás variables que forman parte de </w:t>
      </w:r>
      <w:r w:rsidR="00310AAA">
        <w:rPr>
          <w:rFonts w:cs="Times New Roman"/>
          <w:sz w:val="24"/>
          <w:szCs w:val="24"/>
        </w:rPr>
        <w:t>esta dimensión, los servicios y la calidad de la carrera son reconocidas por los estudiantes</w:t>
      </w:r>
      <w:r w:rsidR="006370FC">
        <w:rPr>
          <w:rFonts w:cs="Times New Roman"/>
          <w:sz w:val="24"/>
          <w:szCs w:val="24"/>
        </w:rPr>
        <w:t xml:space="preserve"> (ver figura 7)</w:t>
      </w:r>
      <w:r w:rsidR="00B0165B">
        <w:rPr>
          <w:rFonts w:cs="Times New Roman"/>
          <w:sz w:val="24"/>
          <w:szCs w:val="24"/>
        </w:rPr>
        <w:t xml:space="preserve">. </w:t>
      </w:r>
    </w:p>
    <w:p w:rsidR="00B0165B" w:rsidRDefault="00B0165B" w:rsidP="00DC4C7B">
      <w:pPr>
        <w:autoSpaceDE w:val="0"/>
        <w:autoSpaceDN w:val="0"/>
        <w:adjustRightInd w:val="0"/>
        <w:spacing w:after="0" w:line="276" w:lineRule="auto"/>
        <w:jc w:val="both"/>
        <w:rPr>
          <w:rFonts w:cs="Times New Roman"/>
          <w:noProof/>
          <w:sz w:val="24"/>
          <w:szCs w:val="24"/>
        </w:rPr>
      </w:pPr>
      <w:r>
        <w:rPr>
          <w:rFonts w:cs="Times New Roman"/>
          <w:sz w:val="24"/>
          <w:szCs w:val="24"/>
        </w:rPr>
        <w:t xml:space="preserve">Los resultados positivos (o factores de protección como los denominan </w:t>
      </w:r>
      <w:r w:rsidRPr="009C6D35">
        <w:rPr>
          <w:rFonts w:cs="Times New Roman"/>
          <w:noProof/>
          <w:sz w:val="24"/>
          <w:szCs w:val="24"/>
        </w:rPr>
        <w:t>Velázquez Narváez, Medina, &amp; Mario, 2017</w:t>
      </w:r>
      <w:r>
        <w:rPr>
          <w:rFonts w:cs="Times New Roman"/>
          <w:noProof/>
          <w:sz w:val="24"/>
          <w:szCs w:val="24"/>
        </w:rPr>
        <w:t>)</w:t>
      </w:r>
      <w:r w:rsidR="00D850E1">
        <w:rPr>
          <w:rFonts w:cs="Times New Roman"/>
          <w:noProof/>
          <w:sz w:val="24"/>
          <w:szCs w:val="24"/>
        </w:rPr>
        <w:t xml:space="preserve"> sobresalen </w:t>
      </w:r>
      <w:r w:rsidR="00D2241B">
        <w:rPr>
          <w:rFonts w:cs="Times New Roman"/>
          <w:noProof/>
          <w:sz w:val="24"/>
          <w:szCs w:val="24"/>
        </w:rPr>
        <w:t xml:space="preserve">las dimensiones de </w:t>
      </w:r>
      <w:r w:rsidR="00A36DE3">
        <w:rPr>
          <w:rFonts w:cs="Times New Roman"/>
          <w:noProof/>
          <w:sz w:val="24"/>
          <w:szCs w:val="24"/>
        </w:rPr>
        <w:t>condiciones socio-familiares</w:t>
      </w:r>
      <w:r w:rsidR="00B601BF">
        <w:rPr>
          <w:rFonts w:cs="Times New Roman"/>
          <w:noProof/>
          <w:sz w:val="24"/>
          <w:szCs w:val="24"/>
        </w:rPr>
        <w:t>, aunque la asociación de la dimensión psicológica no es directa, se entiende como un factor que impulsa</w:t>
      </w:r>
      <w:r w:rsidR="00CF1707">
        <w:rPr>
          <w:rFonts w:cs="Times New Roman"/>
          <w:noProof/>
          <w:sz w:val="24"/>
          <w:szCs w:val="24"/>
        </w:rPr>
        <w:t xml:space="preserve"> a obtener un buen desempeño académico.</w:t>
      </w:r>
    </w:p>
    <w:p w:rsidR="00CF1707" w:rsidRDefault="000F72AD" w:rsidP="00BA609C">
      <w:pPr>
        <w:autoSpaceDE w:val="0"/>
        <w:autoSpaceDN w:val="0"/>
        <w:adjustRightInd w:val="0"/>
        <w:spacing w:after="0" w:line="276" w:lineRule="auto"/>
        <w:jc w:val="both"/>
        <w:rPr>
          <w:rFonts w:cs="Times New Roman"/>
          <w:noProof/>
          <w:sz w:val="24"/>
          <w:szCs w:val="24"/>
        </w:rPr>
      </w:pPr>
      <w:r>
        <w:rPr>
          <w:rFonts w:cs="Times New Roman"/>
          <w:noProof/>
          <w:sz w:val="24"/>
          <w:szCs w:val="24"/>
        </w:rPr>
        <w:t>Respecto de</w:t>
      </w:r>
      <w:r w:rsidR="00BA609C">
        <w:rPr>
          <w:rFonts w:cs="Times New Roman"/>
          <w:noProof/>
          <w:sz w:val="24"/>
          <w:szCs w:val="24"/>
        </w:rPr>
        <w:t xml:space="preserve"> las variables, al igual que </w:t>
      </w:r>
      <w:sdt>
        <w:sdtPr>
          <w:rPr>
            <w:rFonts w:cs="Times New Roman"/>
            <w:noProof/>
            <w:sz w:val="24"/>
            <w:szCs w:val="24"/>
          </w:rPr>
          <w:id w:val="364563641"/>
          <w:citation/>
        </w:sdtPr>
        <w:sdtContent>
          <w:r w:rsidR="00BA609C">
            <w:rPr>
              <w:rFonts w:cs="Times New Roman"/>
              <w:noProof/>
              <w:sz w:val="24"/>
              <w:szCs w:val="24"/>
            </w:rPr>
            <w:fldChar w:fldCharType="begin"/>
          </w:r>
          <w:r w:rsidR="00BA609C">
            <w:rPr>
              <w:rFonts w:cs="Times New Roman"/>
              <w:noProof/>
              <w:sz w:val="24"/>
              <w:szCs w:val="24"/>
            </w:rPr>
            <w:instrText xml:space="preserve"> CITATION Ver16 \l 12298 </w:instrText>
          </w:r>
          <w:r w:rsidR="00BA609C">
            <w:rPr>
              <w:rFonts w:cs="Times New Roman"/>
              <w:noProof/>
              <w:sz w:val="24"/>
              <w:szCs w:val="24"/>
            </w:rPr>
            <w:fldChar w:fldCharType="separate"/>
          </w:r>
          <w:r w:rsidR="00A4238C" w:rsidRPr="00A4238C">
            <w:rPr>
              <w:rFonts w:cs="Times New Roman"/>
              <w:noProof/>
              <w:sz w:val="24"/>
              <w:szCs w:val="24"/>
            </w:rPr>
            <w:t>(Vergel-Ortega, Martínez-Lozano, &amp; Zafra-Tristancho, 2016)</w:t>
          </w:r>
          <w:r w:rsidR="00BA609C">
            <w:rPr>
              <w:rFonts w:cs="Times New Roman"/>
              <w:noProof/>
              <w:sz w:val="24"/>
              <w:szCs w:val="24"/>
            </w:rPr>
            <w:fldChar w:fldCharType="end"/>
          </w:r>
        </w:sdtContent>
      </w:sdt>
      <w:r w:rsidR="00BA609C">
        <w:rPr>
          <w:rFonts w:cs="Times New Roman"/>
          <w:noProof/>
          <w:sz w:val="24"/>
          <w:szCs w:val="24"/>
        </w:rPr>
        <w:t xml:space="preserve"> </w:t>
      </w:r>
      <w:r w:rsidR="00BA609C" w:rsidRPr="00BA609C">
        <w:rPr>
          <w:rFonts w:cs="Times New Roman"/>
          <w:noProof/>
          <w:sz w:val="24"/>
          <w:szCs w:val="24"/>
        </w:rPr>
        <w:t xml:space="preserve">se </w:t>
      </w:r>
      <w:r w:rsidR="00BA609C">
        <w:rPr>
          <w:rFonts w:cs="Times New Roman"/>
          <w:noProof/>
          <w:sz w:val="24"/>
          <w:szCs w:val="24"/>
        </w:rPr>
        <w:t>bosqueja (…)</w:t>
      </w:r>
      <w:r w:rsidR="00BA609C" w:rsidRPr="00BA609C">
        <w:rPr>
          <w:rFonts w:cs="Times New Roman"/>
          <w:noProof/>
          <w:sz w:val="24"/>
          <w:szCs w:val="24"/>
        </w:rPr>
        <w:t xml:space="preserve"> motivación,</w:t>
      </w:r>
      <w:r w:rsidR="00BA609C">
        <w:rPr>
          <w:rFonts w:cs="Times New Roman"/>
          <w:noProof/>
          <w:sz w:val="24"/>
          <w:szCs w:val="24"/>
        </w:rPr>
        <w:t xml:space="preserve"> </w:t>
      </w:r>
      <w:r w:rsidR="00BA609C" w:rsidRPr="00BA609C">
        <w:rPr>
          <w:rFonts w:cs="Times New Roman"/>
          <w:noProof/>
          <w:sz w:val="24"/>
          <w:szCs w:val="24"/>
        </w:rPr>
        <w:t>conciencia de déficit son factores asociados al rendimiento</w:t>
      </w:r>
      <w:r w:rsidR="00BA609C">
        <w:rPr>
          <w:rFonts w:cs="Times New Roman"/>
          <w:noProof/>
          <w:sz w:val="24"/>
          <w:szCs w:val="24"/>
        </w:rPr>
        <w:t xml:space="preserve"> </w:t>
      </w:r>
      <w:r w:rsidR="00BA609C" w:rsidRPr="00BA609C">
        <w:rPr>
          <w:rFonts w:cs="Times New Roman"/>
          <w:noProof/>
          <w:sz w:val="24"/>
          <w:szCs w:val="24"/>
        </w:rPr>
        <w:t>en adultos</w:t>
      </w:r>
      <w:r w:rsidR="00BA609C">
        <w:rPr>
          <w:rFonts w:cs="Times New Roman"/>
          <w:noProof/>
          <w:sz w:val="24"/>
          <w:szCs w:val="24"/>
        </w:rPr>
        <w:t>, lo mismo ocurre en los estudiantes universitarios</w:t>
      </w:r>
      <w:r w:rsidR="00A73C65">
        <w:rPr>
          <w:rFonts w:cs="Times New Roman"/>
          <w:noProof/>
          <w:sz w:val="24"/>
          <w:szCs w:val="24"/>
        </w:rPr>
        <w:t xml:space="preserve"> (ver figura 4)</w:t>
      </w:r>
      <w:r w:rsidR="009F2403">
        <w:rPr>
          <w:rFonts w:cs="Times New Roman"/>
          <w:noProof/>
          <w:sz w:val="24"/>
          <w:szCs w:val="24"/>
        </w:rPr>
        <w:t>.</w:t>
      </w:r>
    </w:p>
    <w:p w:rsidR="00A73C65" w:rsidRDefault="00A73C65" w:rsidP="00A73C65">
      <w:pPr>
        <w:keepNext/>
        <w:autoSpaceDE w:val="0"/>
        <w:autoSpaceDN w:val="0"/>
        <w:adjustRightInd w:val="0"/>
        <w:spacing w:after="0" w:line="240" w:lineRule="auto"/>
      </w:pPr>
      <w:r>
        <w:rPr>
          <w:rFonts w:cs="Times New Roman"/>
          <w:noProof/>
          <w:sz w:val="24"/>
          <w:szCs w:val="24"/>
          <w:lang w:val="es-ES" w:eastAsia="es-ES"/>
        </w:rPr>
        <w:drawing>
          <wp:inline distT="0" distB="0" distL="0" distR="0" wp14:anchorId="4EA3CCA5" wp14:editId="7CEEA48A">
            <wp:extent cx="2600325" cy="198982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18313"/>
                    <a:stretch/>
                  </pic:blipFill>
                  <pic:spPr bwMode="auto">
                    <a:xfrm>
                      <a:off x="0" y="0"/>
                      <a:ext cx="2645445" cy="2024348"/>
                    </a:xfrm>
                    <a:prstGeom prst="rect">
                      <a:avLst/>
                    </a:prstGeom>
                    <a:noFill/>
                    <a:ln>
                      <a:noFill/>
                    </a:ln>
                    <a:extLst>
                      <a:ext uri="{53640926-AAD7-44D8-BBD7-CCE9431645EC}">
                        <a14:shadowObscured xmlns:a14="http://schemas.microsoft.com/office/drawing/2010/main"/>
                      </a:ext>
                    </a:extLst>
                  </pic:spPr>
                </pic:pic>
              </a:graphicData>
            </a:graphic>
          </wp:inline>
        </w:drawing>
      </w:r>
    </w:p>
    <w:p w:rsidR="00A73C65" w:rsidRPr="0022242A" w:rsidRDefault="00A73C65" w:rsidP="00A73C65">
      <w:pPr>
        <w:pStyle w:val="Descripcin"/>
        <w:jc w:val="left"/>
        <w:rPr>
          <w:rFonts w:cs="Times New Roman"/>
          <w:sz w:val="24"/>
          <w:szCs w:val="24"/>
        </w:rPr>
      </w:pPr>
      <w:r>
        <w:t xml:space="preserve">Figura </w:t>
      </w:r>
      <w:r w:rsidR="00CA344C">
        <w:rPr>
          <w:noProof/>
        </w:rPr>
        <w:fldChar w:fldCharType="begin"/>
      </w:r>
      <w:r w:rsidR="00CA344C">
        <w:rPr>
          <w:noProof/>
        </w:rPr>
        <w:instrText xml:space="preserve"> SEQ Figura \* ARABIC </w:instrText>
      </w:r>
      <w:r w:rsidR="00CA344C">
        <w:rPr>
          <w:noProof/>
        </w:rPr>
        <w:fldChar w:fldCharType="separate"/>
      </w:r>
      <w:r w:rsidR="00B71B71">
        <w:rPr>
          <w:noProof/>
        </w:rPr>
        <w:t>3</w:t>
      </w:r>
      <w:r w:rsidR="00CA344C">
        <w:rPr>
          <w:noProof/>
        </w:rPr>
        <w:fldChar w:fldCharType="end"/>
      </w:r>
      <w:r w:rsidR="0022242A">
        <w:t>. Factores de riesgo y/o protección</w:t>
      </w:r>
    </w:p>
    <w:p w:rsidR="00A73C65" w:rsidRPr="0022242A" w:rsidRDefault="00A73C65" w:rsidP="00A73C65">
      <w:pPr>
        <w:autoSpaceDE w:val="0"/>
        <w:autoSpaceDN w:val="0"/>
        <w:adjustRightInd w:val="0"/>
        <w:spacing w:after="0" w:line="240" w:lineRule="auto"/>
        <w:rPr>
          <w:rFonts w:cs="Times New Roman"/>
          <w:sz w:val="24"/>
          <w:szCs w:val="24"/>
        </w:rPr>
      </w:pPr>
    </w:p>
    <w:p w:rsidR="006278A6" w:rsidRDefault="0022242A" w:rsidP="006278A6">
      <w:pPr>
        <w:autoSpaceDE w:val="0"/>
        <w:autoSpaceDN w:val="0"/>
        <w:adjustRightInd w:val="0"/>
        <w:spacing w:after="0" w:line="276" w:lineRule="auto"/>
        <w:jc w:val="both"/>
        <w:rPr>
          <w:rFonts w:cs="Times New Roman"/>
          <w:sz w:val="24"/>
          <w:szCs w:val="24"/>
        </w:rPr>
      </w:pPr>
      <w:r w:rsidRPr="0022242A">
        <w:rPr>
          <w:rFonts w:cs="Times New Roman"/>
          <w:sz w:val="24"/>
          <w:szCs w:val="24"/>
        </w:rPr>
        <w:t>Como se puede apreciar en la gr</w:t>
      </w:r>
      <w:r>
        <w:rPr>
          <w:rFonts w:cs="Times New Roman"/>
          <w:sz w:val="24"/>
          <w:szCs w:val="24"/>
        </w:rPr>
        <w:t>áfica anterior, los factores de riesgo que requieren atención inmediata son la dimensión institucional</w:t>
      </w:r>
      <w:r w:rsidR="00D55FAF">
        <w:rPr>
          <w:rFonts w:cs="Times New Roman"/>
          <w:sz w:val="24"/>
          <w:szCs w:val="24"/>
        </w:rPr>
        <w:t xml:space="preserve"> (sentido de pertenencia)</w:t>
      </w:r>
      <w:r>
        <w:rPr>
          <w:rFonts w:cs="Times New Roman"/>
          <w:sz w:val="24"/>
          <w:szCs w:val="24"/>
        </w:rPr>
        <w:t xml:space="preserve"> y pedagógica</w:t>
      </w:r>
      <w:r w:rsidR="00D55FAF">
        <w:rPr>
          <w:rFonts w:cs="Times New Roman"/>
          <w:sz w:val="24"/>
          <w:szCs w:val="24"/>
        </w:rPr>
        <w:t xml:space="preserve"> (rol del profesor)</w:t>
      </w:r>
      <w:r w:rsidR="00D2241B">
        <w:rPr>
          <w:rFonts w:cs="Times New Roman"/>
          <w:sz w:val="24"/>
          <w:szCs w:val="24"/>
        </w:rPr>
        <w:t xml:space="preserve">, por los altos niveles de indiferencia de los </w:t>
      </w:r>
      <w:r w:rsidR="006278A6">
        <w:rPr>
          <w:rFonts w:cs="Times New Roman"/>
          <w:sz w:val="24"/>
          <w:szCs w:val="24"/>
        </w:rPr>
        <w:t xml:space="preserve">participantes. </w:t>
      </w:r>
      <w:r w:rsidR="008E7EFB">
        <w:rPr>
          <w:rFonts w:cs="Times New Roman"/>
          <w:sz w:val="24"/>
          <w:szCs w:val="24"/>
        </w:rPr>
        <w:t>Al tratarse de la gratuidad de la educación de tercer nivel en el país las condiciones económicas no representan una dificultad, al mismo tiempo</w:t>
      </w:r>
      <w:r w:rsidR="007C49EC">
        <w:rPr>
          <w:rFonts w:cs="Times New Roman"/>
          <w:sz w:val="24"/>
          <w:szCs w:val="24"/>
        </w:rPr>
        <w:t>, el apoyo de la familia constituye un elemento de gran valía para los estudiantes a la hora de aprender, implícitamente relaciona</w:t>
      </w:r>
      <w:r w:rsidR="00083B2E">
        <w:rPr>
          <w:rFonts w:cs="Times New Roman"/>
          <w:sz w:val="24"/>
          <w:szCs w:val="24"/>
        </w:rPr>
        <w:t>do con la dimensión psicológica (desde el auto concepto)</w:t>
      </w:r>
      <w:r w:rsidR="007D17ED">
        <w:rPr>
          <w:rFonts w:cs="Times New Roman"/>
          <w:sz w:val="24"/>
          <w:szCs w:val="24"/>
        </w:rPr>
        <w:t xml:space="preserve">. </w:t>
      </w:r>
      <w:sdt>
        <w:sdtPr>
          <w:rPr>
            <w:rFonts w:cs="Times New Roman"/>
            <w:sz w:val="24"/>
            <w:szCs w:val="24"/>
          </w:rPr>
          <w:id w:val="-88775774"/>
          <w:citation/>
        </w:sdtPr>
        <w:sdtContent>
          <w:r w:rsidR="007D17ED">
            <w:rPr>
              <w:rFonts w:cs="Times New Roman"/>
              <w:sz w:val="24"/>
              <w:szCs w:val="24"/>
            </w:rPr>
            <w:fldChar w:fldCharType="begin"/>
          </w:r>
          <w:r w:rsidR="007D17ED">
            <w:rPr>
              <w:rFonts w:cs="Times New Roman"/>
              <w:sz w:val="24"/>
              <w:szCs w:val="24"/>
            </w:rPr>
            <w:instrText xml:space="preserve"> CITATION Gar07 \l 12298 </w:instrText>
          </w:r>
          <w:r w:rsidR="007D17ED">
            <w:rPr>
              <w:rFonts w:cs="Times New Roman"/>
              <w:sz w:val="24"/>
              <w:szCs w:val="24"/>
            </w:rPr>
            <w:fldChar w:fldCharType="separate"/>
          </w:r>
          <w:r w:rsidR="00A4238C" w:rsidRPr="00A4238C">
            <w:rPr>
              <w:rFonts w:cs="Times New Roman"/>
              <w:noProof/>
              <w:sz w:val="24"/>
              <w:szCs w:val="24"/>
            </w:rPr>
            <w:t>(Garbanzo Vargas, 2007)</w:t>
          </w:r>
          <w:r w:rsidR="007D17ED">
            <w:rPr>
              <w:rFonts w:cs="Times New Roman"/>
              <w:sz w:val="24"/>
              <w:szCs w:val="24"/>
            </w:rPr>
            <w:fldChar w:fldCharType="end"/>
          </w:r>
        </w:sdtContent>
      </w:sdt>
      <w:r w:rsidR="008E7EFB">
        <w:rPr>
          <w:rFonts w:cs="Times New Roman"/>
          <w:sz w:val="24"/>
          <w:szCs w:val="24"/>
        </w:rPr>
        <w:t xml:space="preserve"> </w:t>
      </w:r>
    </w:p>
    <w:p w:rsidR="002E7344" w:rsidRDefault="00551D8F" w:rsidP="00860516">
      <w:pPr>
        <w:autoSpaceDE w:val="0"/>
        <w:autoSpaceDN w:val="0"/>
        <w:adjustRightInd w:val="0"/>
        <w:spacing w:after="0" w:line="240" w:lineRule="auto"/>
        <w:rPr>
          <w:rFonts w:cs="Times New Roman"/>
          <w:sz w:val="24"/>
          <w:szCs w:val="24"/>
        </w:rPr>
      </w:pPr>
      <w:r>
        <w:rPr>
          <w:rFonts w:cs="Times New Roman"/>
          <w:sz w:val="24"/>
          <w:szCs w:val="24"/>
        </w:rPr>
        <w:t>Se confirma también la relatividad de los contextos, en ningún caso las circunstancias, los componentes y las categorías pueden presentar el mismo comportamiento. (</w:t>
      </w:r>
      <w:r w:rsidRPr="00551D8F">
        <w:rPr>
          <w:rFonts w:cs="Times New Roman"/>
          <w:sz w:val="24"/>
          <w:szCs w:val="24"/>
        </w:rPr>
        <w:t>Fonseca y García (2016)</w:t>
      </w:r>
      <w:r>
        <w:rPr>
          <w:rFonts w:cs="Times New Roman"/>
          <w:sz w:val="24"/>
          <w:szCs w:val="24"/>
        </w:rPr>
        <w:t xml:space="preserve"> en </w:t>
      </w:r>
      <w:sdt>
        <w:sdtPr>
          <w:rPr>
            <w:rFonts w:cs="Times New Roman"/>
            <w:sz w:val="24"/>
            <w:szCs w:val="24"/>
          </w:rPr>
          <w:id w:val="784932113"/>
          <w:citation/>
        </w:sdtPr>
        <w:sdtContent>
          <w:r>
            <w:rPr>
              <w:rFonts w:cs="Times New Roman"/>
              <w:sz w:val="24"/>
              <w:szCs w:val="24"/>
            </w:rPr>
            <w:fldChar w:fldCharType="begin"/>
          </w:r>
          <w:r>
            <w:rPr>
              <w:rFonts w:cs="Times New Roman"/>
              <w:sz w:val="24"/>
              <w:szCs w:val="24"/>
            </w:rPr>
            <w:instrText xml:space="preserve"> CITATION Vél17 \l 12298 </w:instrText>
          </w:r>
          <w:r>
            <w:rPr>
              <w:rFonts w:cs="Times New Roman"/>
              <w:sz w:val="24"/>
              <w:szCs w:val="24"/>
            </w:rPr>
            <w:fldChar w:fldCharType="separate"/>
          </w:r>
          <w:r w:rsidR="00A4238C" w:rsidRPr="00A4238C">
            <w:rPr>
              <w:rFonts w:cs="Times New Roman"/>
              <w:noProof/>
              <w:sz w:val="24"/>
              <w:szCs w:val="24"/>
            </w:rPr>
            <w:t>(Velázquez Narváez, Medina, &amp; Mario, 2017)</w:t>
          </w:r>
          <w:r>
            <w:rPr>
              <w:rFonts w:cs="Times New Roman"/>
              <w:sz w:val="24"/>
              <w:szCs w:val="24"/>
            </w:rPr>
            <w:fldChar w:fldCharType="end"/>
          </w:r>
        </w:sdtContent>
      </w:sdt>
      <w:r>
        <w:rPr>
          <w:rFonts w:cs="Times New Roman"/>
          <w:sz w:val="24"/>
          <w:szCs w:val="24"/>
        </w:rPr>
        <w:t>)</w:t>
      </w:r>
      <w:r w:rsidR="0005070A">
        <w:rPr>
          <w:rFonts w:cs="Times New Roman"/>
          <w:sz w:val="24"/>
          <w:szCs w:val="24"/>
        </w:rPr>
        <w:t xml:space="preserve">, esto por el manejo y la </w:t>
      </w:r>
      <w:r w:rsidR="00860516">
        <w:rPr>
          <w:rFonts w:cs="Times New Roman"/>
          <w:sz w:val="24"/>
          <w:szCs w:val="24"/>
        </w:rPr>
        <w:t>naturaleza del centro de educación.</w:t>
      </w:r>
    </w:p>
    <w:p w:rsidR="008E1C2C" w:rsidRDefault="008E1C2C" w:rsidP="00891126">
      <w:pPr>
        <w:spacing w:before="240" w:line="276" w:lineRule="auto"/>
        <w:jc w:val="both"/>
        <w:rPr>
          <w:rFonts w:cs="Times New Roman"/>
          <w:b/>
          <w:sz w:val="24"/>
        </w:rPr>
      </w:pPr>
      <w:r>
        <w:rPr>
          <w:rFonts w:cs="Times New Roman"/>
          <w:b/>
          <w:sz w:val="24"/>
        </w:rPr>
        <w:t xml:space="preserve">Conclusiones </w:t>
      </w:r>
      <w:r w:rsidR="00424B16">
        <w:rPr>
          <w:rFonts w:cs="Times New Roman"/>
          <w:b/>
          <w:sz w:val="24"/>
        </w:rPr>
        <w:t>y recomendaciones</w:t>
      </w:r>
    </w:p>
    <w:p w:rsidR="00767161" w:rsidRDefault="008E1C2C" w:rsidP="00891126">
      <w:pPr>
        <w:spacing w:before="240" w:line="276" w:lineRule="auto"/>
        <w:jc w:val="both"/>
        <w:rPr>
          <w:rFonts w:cs="Times New Roman"/>
          <w:sz w:val="24"/>
        </w:rPr>
      </w:pPr>
      <w:r>
        <w:rPr>
          <w:rFonts w:cs="Times New Roman"/>
          <w:sz w:val="24"/>
        </w:rPr>
        <w:t>Las principales</w:t>
      </w:r>
      <w:r w:rsidR="00860516">
        <w:rPr>
          <w:rFonts w:cs="Times New Roman"/>
          <w:sz w:val="24"/>
        </w:rPr>
        <w:t xml:space="preserve"> acciones que pueden fortalecer o mejorar el rendimiento académico estudiantil dentro de la carrera de Administración de Empresas de la </w:t>
      </w:r>
      <w:r w:rsidR="00860516">
        <w:rPr>
          <w:rFonts w:cs="Times New Roman"/>
          <w:sz w:val="24"/>
        </w:rPr>
        <w:lastRenderedPageBreak/>
        <w:t>UPEC, deben enfocarse en afrontar a los factores de riesgo, puesto que se trata de factores internos de la organización.</w:t>
      </w:r>
    </w:p>
    <w:p w:rsidR="00860516" w:rsidRDefault="00860516" w:rsidP="00891126">
      <w:pPr>
        <w:spacing w:before="240" w:line="276" w:lineRule="auto"/>
        <w:jc w:val="both"/>
        <w:rPr>
          <w:rFonts w:cs="Times New Roman"/>
          <w:sz w:val="24"/>
        </w:rPr>
      </w:pPr>
      <w:r>
        <w:rPr>
          <w:rFonts w:cs="Times New Roman"/>
          <w:sz w:val="24"/>
        </w:rPr>
        <w:t>En ese orden de ideas, las acciones deben estar encaminadas a</w:t>
      </w:r>
      <w:r w:rsidR="00767161">
        <w:rPr>
          <w:rFonts w:cs="Times New Roman"/>
          <w:sz w:val="24"/>
        </w:rPr>
        <w:t xml:space="preserve"> fortalecer, de manera que</w:t>
      </w:r>
      <w:r>
        <w:rPr>
          <w:rFonts w:cs="Times New Roman"/>
          <w:sz w:val="24"/>
        </w:rPr>
        <w:t>:</w:t>
      </w:r>
    </w:p>
    <w:p w:rsidR="00767161" w:rsidRDefault="00860516" w:rsidP="00891126">
      <w:pPr>
        <w:spacing w:before="240" w:line="276" w:lineRule="auto"/>
        <w:jc w:val="both"/>
        <w:rPr>
          <w:rFonts w:cs="Times New Roman"/>
          <w:sz w:val="24"/>
        </w:rPr>
      </w:pPr>
      <w:r>
        <w:rPr>
          <w:rFonts w:cs="Times New Roman"/>
          <w:sz w:val="24"/>
        </w:rPr>
        <w:t>El sentido de pertenencia, debe partir de una estrategia de comunicación y un contacto permanente entre estudiantes y autoridades, además facilitar la organización de agrupaciones estudiantiles, con el propósito de generar experiencias vivenciales para cada integrante.</w:t>
      </w:r>
      <w:r w:rsidR="009033E8">
        <w:rPr>
          <w:rFonts w:cs="Times New Roman"/>
          <w:sz w:val="24"/>
        </w:rPr>
        <w:t xml:space="preserve"> En ese aspecto l</w:t>
      </w:r>
      <w:r w:rsidR="009033E8" w:rsidRPr="009033E8">
        <w:rPr>
          <w:rFonts w:cs="Times New Roman"/>
          <w:sz w:val="24"/>
        </w:rPr>
        <w:t>a administración debe garantizar espacios adecuados para el ejercicio académico y promover</w:t>
      </w:r>
      <w:r w:rsidR="009033E8">
        <w:rPr>
          <w:rFonts w:cs="Times New Roman"/>
          <w:sz w:val="24"/>
        </w:rPr>
        <w:t xml:space="preserve"> </w:t>
      </w:r>
      <w:r w:rsidR="009033E8" w:rsidRPr="009033E8">
        <w:rPr>
          <w:rFonts w:cs="Times New Roman"/>
          <w:sz w:val="24"/>
        </w:rPr>
        <w:t>un clima laboral que propicie interacciones sanas hacia el alumno.</w:t>
      </w:r>
      <w:sdt>
        <w:sdtPr>
          <w:rPr>
            <w:rFonts w:cs="Times New Roman"/>
            <w:sz w:val="24"/>
          </w:rPr>
          <w:id w:val="-805857399"/>
          <w:citation/>
        </w:sdtPr>
        <w:sdtContent>
          <w:r w:rsidR="003F6CDF">
            <w:rPr>
              <w:rFonts w:cs="Times New Roman"/>
              <w:sz w:val="24"/>
            </w:rPr>
            <w:fldChar w:fldCharType="begin"/>
          </w:r>
          <w:r w:rsidR="003F6CDF">
            <w:rPr>
              <w:rFonts w:cs="Times New Roman"/>
              <w:sz w:val="24"/>
            </w:rPr>
            <w:instrText xml:space="preserve"> CITATION Vél17 \l 12298 </w:instrText>
          </w:r>
          <w:r w:rsidR="003F6CDF">
            <w:rPr>
              <w:rFonts w:cs="Times New Roman"/>
              <w:sz w:val="24"/>
            </w:rPr>
            <w:fldChar w:fldCharType="separate"/>
          </w:r>
          <w:r w:rsidR="00A4238C">
            <w:rPr>
              <w:rFonts w:cs="Times New Roman"/>
              <w:noProof/>
              <w:sz w:val="24"/>
            </w:rPr>
            <w:t xml:space="preserve"> </w:t>
          </w:r>
          <w:r w:rsidR="00A4238C" w:rsidRPr="00A4238C">
            <w:rPr>
              <w:rFonts w:cs="Times New Roman"/>
              <w:noProof/>
              <w:sz w:val="24"/>
            </w:rPr>
            <w:t>(Velázquez Narváez, Medina, &amp; Mario, 2017)</w:t>
          </w:r>
          <w:r w:rsidR="003F6CDF">
            <w:rPr>
              <w:rFonts w:cs="Times New Roman"/>
              <w:sz w:val="24"/>
            </w:rPr>
            <w:fldChar w:fldCharType="end"/>
          </w:r>
        </w:sdtContent>
      </w:sdt>
    </w:p>
    <w:p w:rsidR="00980616" w:rsidRDefault="00767161" w:rsidP="00891126">
      <w:pPr>
        <w:spacing w:before="240" w:line="276" w:lineRule="auto"/>
        <w:jc w:val="both"/>
        <w:rPr>
          <w:rFonts w:cs="Times New Roman"/>
          <w:sz w:val="24"/>
        </w:rPr>
      </w:pPr>
      <w:r>
        <w:rPr>
          <w:rFonts w:cs="Times New Roman"/>
          <w:sz w:val="24"/>
        </w:rPr>
        <w:t xml:space="preserve">Los profesores deben convertirse en </w:t>
      </w:r>
      <w:r w:rsidR="00D6012D">
        <w:rPr>
          <w:rFonts w:cs="Times New Roman"/>
          <w:sz w:val="24"/>
        </w:rPr>
        <w:t>“</w:t>
      </w:r>
      <w:r w:rsidRPr="00767161">
        <w:rPr>
          <w:rFonts w:cs="Times New Roman"/>
          <w:sz w:val="24"/>
        </w:rPr>
        <w:t>un motivador positivo a través de sus propias actitudes y métodos didácticos</w:t>
      </w:r>
      <w:r>
        <w:rPr>
          <w:rFonts w:cs="Times New Roman"/>
          <w:sz w:val="24"/>
        </w:rPr>
        <w:t xml:space="preserve"> </w:t>
      </w:r>
      <w:r w:rsidRPr="00767161">
        <w:rPr>
          <w:rFonts w:cs="Times New Roman"/>
          <w:sz w:val="24"/>
        </w:rPr>
        <w:t>utilizados dentro del aula, que además favorezca los sentidos de integración y de pertenencia</w:t>
      </w:r>
      <w:r>
        <w:rPr>
          <w:rFonts w:cs="Times New Roman"/>
          <w:sz w:val="24"/>
        </w:rPr>
        <w:t xml:space="preserve"> </w:t>
      </w:r>
      <w:r w:rsidRPr="00767161">
        <w:rPr>
          <w:rFonts w:cs="Times New Roman"/>
          <w:sz w:val="24"/>
        </w:rPr>
        <w:t>de los estudiantes. Lo anterior puede lograrse a través de capacitación continua, de un clima</w:t>
      </w:r>
      <w:r>
        <w:rPr>
          <w:rFonts w:cs="Times New Roman"/>
          <w:sz w:val="24"/>
        </w:rPr>
        <w:t xml:space="preserve"> </w:t>
      </w:r>
      <w:r w:rsidRPr="00767161">
        <w:rPr>
          <w:rFonts w:cs="Times New Roman"/>
          <w:sz w:val="24"/>
        </w:rPr>
        <w:t>organizacional saludable y de actividades académicas fuera del aula.</w:t>
      </w:r>
      <w:r w:rsidR="00860516">
        <w:rPr>
          <w:rFonts w:cs="Times New Roman"/>
          <w:sz w:val="24"/>
        </w:rPr>
        <w:t xml:space="preserve">  </w:t>
      </w:r>
      <w:r w:rsidR="008E1C2C">
        <w:rPr>
          <w:rFonts w:cs="Times New Roman"/>
          <w:sz w:val="24"/>
        </w:rPr>
        <w:t xml:space="preserve"> </w:t>
      </w:r>
      <w:proofErr w:type="gramStart"/>
      <w:r w:rsidR="008E1C2C">
        <w:rPr>
          <w:rFonts w:cs="Times New Roman"/>
          <w:sz w:val="24"/>
        </w:rPr>
        <w:t>conclusiones</w:t>
      </w:r>
      <w:proofErr w:type="gramEnd"/>
      <w:r w:rsidR="008E1C2C">
        <w:rPr>
          <w:rFonts w:cs="Times New Roman"/>
          <w:sz w:val="24"/>
        </w:rPr>
        <w:t xml:space="preserve"> deben estar encaminadas a enfatizar los componentes que mayor grado explicativo poseen</w:t>
      </w:r>
      <w:r w:rsidR="00D6012D">
        <w:rPr>
          <w:rFonts w:cs="Times New Roman"/>
          <w:sz w:val="24"/>
        </w:rPr>
        <w:t>”</w:t>
      </w:r>
      <w:r w:rsidR="008E1C2C">
        <w:rPr>
          <w:rFonts w:cs="Times New Roman"/>
          <w:sz w:val="24"/>
        </w:rPr>
        <w:t>.</w:t>
      </w:r>
      <w:sdt>
        <w:sdtPr>
          <w:rPr>
            <w:rFonts w:cs="Times New Roman"/>
            <w:sz w:val="24"/>
          </w:rPr>
          <w:id w:val="-1385865377"/>
          <w:citation/>
        </w:sdtPr>
        <w:sdtContent>
          <w:r w:rsidR="00D6012D">
            <w:rPr>
              <w:rFonts w:cs="Times New Roman"/>
              <w:sz w:val="24"/>
            </w:rPr>
            <w:fldChar w:fldCharType="begin"/>
          </w:r>
          <w:r w:rsidR="003916D7">
            <w:rPr>
              <w:rFonts w:cs="Times New Roman"/>
              <w:sz w:val="24"/>
            </w:rPr>
            <w:instrText xml:space="preserve">CITATION Vél17 \p 133 \l 12298 </w:instrText>
          </w:r>
          <w:r w:rsidR="00D6012D">
            <w:rPr>
              <w:rFonts w:cs="Times New Roman"/>
              <w:sz w:val="24"/>
            </w:rPr>
            <w:fldChar w:fldCharType="separate"/>
          </w:r>
          <w:r w:rsidR="00A4238C">
            <w:rPr>
              <w:rFonts w:cs="Times New Roman"/>
              <w:noProof/>
              <w:sz w:val="24"/>
            </w:rPr>
            <w:t xml:space="preserve"> </w:t>
          </w:r>
          <w:r w:rsidR="00A4238C" w:rsidRPr="00A4238C">
            <w:rPr>
              <w:rFonts w:cs="Times New Roman"/>
              <w:noProof/>
              <w:sz w:val="24"/>
            </w:rPr>
            <w:t>(Velázquez Narváez, Medina, &amp; Mario, 2017, pág. 133)</w:t>
          </w:r>
          <w:r w:rsidR="00D6012D">
            <w:rPr>
              <w:rFonts w:cs="Times New Roman"/>
              <w:sz w:val="24"/>
            </w:rPr>
            <w:fldChar w:fldCharType="end"/>
          </w:r>
        </w:sdtContent>
      </w:sdt>
      <w:r w:rsidR="009033E8">
        <w:rPr>
          <w:rFonts w:cs="Times New Roman"/>
          <w:sz w:val="24"/>
        </w:rPr>
        <w:t xml:space="preserve">. </w:t>
      </w:r>
      <w:r w:rsidR="007B2BEB">
        <w:rPr>
          <w:rFonts w:cs="Times New Roman"/>
          <w:sz w:val="24"/>
        </w:rPr>
        <w:t>Además</w:t>
      </w:r>
      <w:r w:rsidR="00652BE4">
        <w:rPr>
          <w:rFonts w:cs="Times New Roman"/>
          <w:sz w:val="24"/>
        </w:rPr>
        <w:t>,</w:t>
      </w:r>
      <w:r w:rsidR="007B2BEB">
        <w:rPr>
          <w:rFonts w:cs="Times New Roman"/>
          <w:sz w:val="24"/>
        </w:rPr>
        <w:t xml:space="preserve"> la interacción familiar, es un aspecto extremadamente </w:t>
      </w:r>
      <w:r w:rsidR="0018335F">
        <w:rPr>
          <w:rFonts w:cs="Times New Roman"/>
          <w:sz w:val="24"/>
        </w:rPr>
        <w:t xml:space="preserve">valioso, de </w:t>
      </w:r>
      <w:r w:rsidR="00424B16">
        <w:rPr>
          <w:rFonts w:cs="Times New Roman"/>
          <w:sz w:val="24"/>
        </w:rPr>
        <w:t>hecho,</w:t>
      </w:r>
      <w:r w:rsidR="0018335F">
        <w:rPr>
          <w:rFonts w:cs="Times New Roman"/>
          <w:sz w:val="24"/>
        </w:rPr>
        <w:t xml:space="preserve"> los canales de comunicación </w:t>
      </w:r>
      <w:r w:rsidR="00652BE4">
        <w:rPr>
          <w:rFonts w:cs="Times New Roman"/>
          <w:sz w:val="24"/>
        </w:rPr>
        <w:t>deben estar enfocados de tal manera que se inyecte un mayor apoyo a los estudiantes con un desempeño regular.</w:t>
      </w:r>
    </w:p>
    <w:p w:rsidR="00FF3050" w:rsidRDefault="00FF3050" w:rsidP="00891126">
      <w:pPr>
        <w:spacing w:before="240" w:line="276" w:lineRule="auto"/>
        <w:jc w:val="both"/>
        <w:rPr>
          <w:rFonts w:cs="Times New Roman"/>
          <w:b/>
          <w:sz w:val="24"/>
        </w:rPr>
        <w:sectPr w:rsidR="00FF3050" w:rsidSect="00696662">
          <w:type w:val="continuous"/>
          <w:pgSz w:w="11906" w:h="16838"/>
          <w:pgMar w:top="1417" w:right="1701" w:bottom="1417" w:left="1701" w:header="708" w:footer="697" w:gutter="0"/>
          <w:pgNumType w:start="135"/>
          <w:cols w:num="2" w:space="566"/>
          <w:docGrid w:linePitch="360"/>
        </w:sectPr>
      </w:pPr>
    </w:p>
    <w:p w:rsidR="00980616" w:rsidRPr="00980616" w:rsidRDefault="00AC4920" w:rsidP="00696662">
      <w:pPr>
        <w:spacing w:before="240" w:line="276" w:lineRule="auto"/>
        <w:jc w:val="center"/>
        <w:rPr>
          <w:rFonts w:cs="Times New Roman"/>
          <w:b/>
          <w:sz w:val="24"/>
        </w:rPr>
      </w:pPr>
      <w:proofErr w:type="gramStart"/>
      <w:r>
        <w:rPr>
          <w:rFonts w:cs="Times New Roman"/>
          <w:b/>
          <w:sz w:val="24"/>
        </w:rPr>
        <w:t xml:space="preserve">Referencia </w:t>
      </w:r>
      <w:r w:rsidR="00F066C6" w:rsidRPr="00980616">
        <w:rPr>
          <w:rFonts w:cs="Times New Roman"/>
          <w:b/>
          <w:sz w:val="24"/>
        </w:rPr>
        <w:t>Bibliográf</w:t>
      </w:r>
      <w:r w:rsidR="00F066C6">
        <w:rPr>
          <w:rFonts w:cs="Times New Roman"/>
          <w:b/>
          <w:sz w:val="24"/>
        </w:rPr>
        <w:t>icas</w:t>
      </w:r>
      <w:proofErr w:type="gramEnd"/>
    </w:p>
    <w:sdt>
      <w:sdtPr>
        <w:rPr>
          <w:rFonts w:ascii="Times New Roman" w:eastAsiaTheme="minorHAnsi" w:hAnsi="Times New Roman" w:cstheme="minorBidi"/>
          <w:color w:val="auto"/>
          <w:sz w:val="22"/>
          <w:szCs w:val="22"/>
          <w:lang w:val="es-ES"/>
        </w:rPr>
        <w:id w:val="1233282320"/>
        <w:docPartObj>
          <w:docPartGallery w:val="Bibliographies"/>
          <w:docPartUnique/>
        </w:docPartObj>
      </w:sdtPr>
      <w:sdtEndPr>
        <w:rPr>
          <w:lang w:val="es-EC"/>
        </w:rPr>
      </w:sdtEndPr>
      <w:sdtContent>
        <w:p w:rsidR="00980616" w:rsidRPr="00980616" w:rsidRDefault="00980616" w:rsidP="00891126">
          <w:pPr>
            <w:pStyle w:val="Ttulo1"/>
            <w:spacing w:line="276" w:lineRule="auto"/>
            <w:rPr>
              <w:lang w:val="es-EC"/>
            </w:rPr>
          </w:pPr>
        </w:p>
        <w:sdt>
          <w:sdtPr>
            <w:id w:val="111145805"/>
            <w:bibliography/>
          </w:sdtPr>
          <w:sdtContent>
            <w:p w:rsidR="00A4238C" w:rsidRDefault="00980616" w:rsidP="00A4238C">
              <w:pPr>
                <w:pStyle w:val="Bibliografa"/>
                <w:ind w:left="720" w:hanging="720"/>
                <w:jc w:val="both"/>
                <w:rPr>
                  <w:noProof/>
                  <w:sz w:val="24"/>
                  <w:szCs w:val="24"/>
                </w:rPr>
              </w:pPr>
              <w:r>
                <w:fldChar w:fldCharType="begin"/>
              </w:r>
              <w:r>
                <w:instrText>BIBLIOGRAPHY</w:instrText>
              </w:r>
              <w:r>
                <w:fldChar w:fldCharType="separate"/>
              </w:r>
              <w:r w:rsidR="00A4238C">
                <w:rPr>
                  <w:noProof/>
                </w:rPr>
                <w:t xml:space="preserve">Ayala, M. C., &amp; Atencio, I. (2018). Retención en la educación universitaria en Chile. Aplicación de un modelo de ecuaciones estructurales. </w:t>
              </w:r>
              <w:r w:rsidR="00A4238C">
                <w:rPr>
                  <w:i/>
                  <w:iCs/>
                  <w:noProof/>
                </w:rPr>
                <w:t>Revista de la Educación Superior</w:t>
              </w:r>
              <w:r w:rsidR="00A4238C">
                <w:rPr>
                  <w:noProof/>
                </w:rPr>
                <w:t>(47 (186)), 93-118. Recuperado el 16 de Octubre de 2018</w:t>
              </w:r>
            </w:p>
            <w:p w:rsidR="00A4238C" w:rsidRDefault="00A4238C" w:rsidP="00A4238C">
              <w:pPr>
                <w:pStyle w:val="Bibliografa"/>
                <w:ind w:left="720" w:hanging="720"/>
                <w:jc w:val="both"/>
                <w:rPr>
                  <w:noProof/>
                </w:rPr>
              </w:pPr>
              <w:r>
                <w:rPr>
                  <w:noProof/>
                </w:rPr>
                <w:t xml:space="preserve">CEAACES. (2017). </w:t>
              </w:r>
              <w:r>
                <w:rPr>
                  <w:i/>
                  <w:iCs/>
                  <w:noProof/>
                </w:rPr>
                <w:t>MODELO GENÉRICO DE EVALUACIÓN DEL ENTORNO DE APRENDIZAJE DE CARRERAS EN ECUADOR.</w:t>
              </w:r>
              <w:r>
                <w:rPr>
                  <w:noProof/>
                </w:rPr>
                <w:t xml:space="preserve"> Quito.</w:t>
              </w:r>
            </w:p>
            <w:p w:rsidR="00A4238C" w:rsidRDefault="00A4238C" w:rsidP="00A4238C">
              <w:pPr>
                <w:pStyle w:val="Bibliografa"/>
                <w:ind w:left="720" w:hanging="720"/>
                <w:jc w:val="both"/>
                <w:rPr>
                  <w:noProof/>
                </w:rPr>
              </w:pPr>
              <w:r>
                <w:rPr>
                  <w:noProof/>
                </w:rPr>
                <w:t xml:space="preserve">CEAACES. (2018). </w:t>
              </w:r>
              <w:r>
                <w:rPr>
                  <w:i/>
                  <w:iCs/>
                  <w:noProof/>
                </w:rPr>
                <w:t>Modelo de Evaluación Institucional de Universidades y Escuelas Politécnicas 2018.</w:t>
              </w:r>
              <w:r>
                <w:rPr>
                  <w:noProof/>
                </w:rPr>
                <w:t xml:space="preserve"> CEAACES.</w:t>
              </w:r>
            </w:p>
            <w:p w:rsidR="00A4238C" w:rsidRDefault="00A4238C" w:rsidP="00A4238C">
              <w:pPr>
                <w:pStyle w:val="Bibliografa"/>
                <w:ind w:left="720" w:hanging="720"/>
                <w:jc w:val="both"/>
                <w:rPr>
                  <w:noProof/>
                </w:rPr>
              </w:pPr>
              <w:r>
                <w:rPr>
                  <w:noProof/>
                </w:rPr>
                <w:t xml:space="preserve">Edel, R. (2003). EL RENDIMIENTO ACADÉMICO: CONCEPTO, INVESTIGACIÓN Y DESARROLLO. </w:t>
              </w:r>
              <w:r>
                <w:rPr>
                  <w:i/>
                  <w:iCs/>
                  <w:noProof/>
                </w:rPr>
                <w:t>REICE - Revista Electrónica Iberoamericana sobre Calidad, Eficacia y Cambio en Educación, I</w:t>
              </w:r>
              <w:r>
                <w:rPr>
                  <w:noProof/>
                </w:rPr>
                <w:t>(2), 2-15. Obtenido de http://www.ice.deusto.es/rinace/reice/vol1n2/Edel.pdf</w:t>
              </w:r>
            </w:p>
            <w:p w:rsidR="00A4238C" w:rsidRDefault="00A4238C" w:rsidP="00A4238C">
              <w:pPr>
                <w:pStyle w:val="Bibliografa"/>
                <w:ind w:left="720" w:hanging="720"/>
                <w:jc w:val="both"/>
                <w:rPr>
                  <w:noProof/>
                </w:rPr>
              </w:pPr>
              <w:r>
                <w:rPr>
                  <w:noProof/>
                </w:rPr>
                <w:t xml:space="preserve">El Telégrafo. (19 de Agosto de 2015). Un universitario gastaría en promedio $ 4.184 al año en aranceles en Ecuador. </w:t>
              </w:r>
              <w:r>
                <w:rPr>
                  <w:i/>
                  <w:iCs/>
                  <w:noProof/>
                </w:rPr>
                <w:t>El Telégrafo</w:t>
              </w:r>
              <w:r>
                <w:rPr>
                  <w:noProof/>
                </w:rPr>
                <w:t>, págs. 1-3. Recuperado el 16 de Octubre de 2018, de https://www.eltelegrafo.com.ec/noticias/sociedad/6/un-universitario-gastaria-en-promedio-4-184-al-ano-en-aranceles-en-ecuador</w:t>
              </w:r>
            </w:p>
            <w:p w:rsidR="00A4238C" w:rsidRDefault="00A4238C" w:rsidP="00A4238C">
              <w:pPr>
                <w:pStyle w:val="Bibliografa"/>
                <w:ind w:left="720" w:hanging="720"/>
                <w:jc w:val="both"/>
                <w:rPr>
                  <w:noProof/>
                </w:rPr>
              </w:pPr>
              <w:r>
                <w:rPr>
                  <w:noProof/>
                </w:rPr>
                <w:lastRenderedPageBreak/>
                <w:t xml:space="preserve">Elías Jímenez, C., Caldera, J., Reynoso, O., &amp; Zamora, M. d. (31 de Octubre de 2016). Variables asociadas al rendimiento en el Examen General para el Egreso de Licenciatura. El caso de Psicología. </w:t>
              </w:r>
              <w:r>
                <w:rPr>
                  <w:i/>
                  <w:iCs/>
                  <w:noProof/>
                </w:rPr>
                <w:t>Revista de la Educación Superior</w:t>
              </w:r>
              <w:r>
                <w:rPr>
                  <w:noProof/>
                </w:rPr>
                <w:t>(45 (180)), 75-88. doi:http://dx.doi.org/10.1016/j.resu.2016.06.008</w:t>
              </w:r>
            </w:p>
            <w:p w:rsidR="00A4238C" w:rsidRDefault="00A4238C" w:rsidP="00A4238C">
              <w:pPr>
                <w:pStyle w:val="Bibliografa"/>
                <w:ind w:left="720" w:hanging="720"/>
                <w:jc w:val="both"/>
                <w:rPr>
                  <w:noProof/>
                </w:rPr>
              </w:pPr>
              <w:r>
                <w:rPr>
                  <w:noProof/>
                </w:rPr>
                <w:t xml:space="preserve">Garbanzo Vargas, G. M. (2007). Factores asociados al rendimiento académico en estudiantes universitarios, una reflexión desde la calidad de la educación superior pública. </w:t>
              </w:r>
              <w:r>
                <w:rPr>
                  <w:i/>
                  <w:iCs/>
                  <w:noProof/>
                </w:rPr>
                <w:t>Educación, XXXI</w:t>
              </w:r>
              <w:r>
                <w:rPr>
                  <w:noProof/>
                </w:rPr>
                <w:t>(1), 43-63. Recuperado el 17 de 10 de 2018, de http://www.redalyc.org/articulo.oa?id=44031103</w:t>
              </w:r>
            </w:p>
            <w:p w:rsidR="00A4238C" w:rsidRDefault="00A4238C" w:rsidP="00A4238C">
              <w:pPr>
                <w:pStyle w:val="Bibliografa"/>
                <w:ind w:left="720" w:hanging="720"/>
                <w:jc w:val="both"/>
                <w:rPr>
                  <w:noProof/>
                </w:rPr>
              </w:pPr>
              <w:r>
                <w:rPr>
                  <w:noProof/>
                </w:rPr>
                <w:t xml:space="preserve">Herrera, J., &amp; De Jesús Rahmer, B. (2018). Aplicación del análisis factorial exploratorio en la escala de satisfacción de los usuarios. Caso de estudio para una organización no gubernamental. </w:t>
              </w:r>
              <w:r>
                <w:rPr>
                  <w:i/>
                  <w:iCs/>
                  <w:noProof/>
                </w:rPr>
                <w:t>Espacios, XXXIX</w:t>
              </w:r>
              <w:r>
                <w:rPr>
                  <w:noProof/>
                </w:rPr>
                <w:t>(32), 19-35. Recuperado el 17 de Octubre de 2018</w:t>
              </w:r>
            </w:p>
            <w:p w:rsidR="00A4238C" w:rsidRDefault="00A4238C" w:rsidP="00A4238C">
              <w:pPr>
                <w:pStyle w:val="Bibliografa"/>
                <w:ind w:left="720" w:hanging="720"/>
                <w:jc w:val="both"/>
                <w:rPr>
                  <w:noProof/>
                </w:rPr>
              </w:pPr>
              <w:r>
                <w:rPr>
                  <w:noProof/>
                </w:rPr>
                <w:t xml:space="preserve">Mainardi-Remis, A.-I. (2018). Incidencia de factores institucionales y de la autoestima en las trayectorias académicas de estudiantes con discapacidad. </w:t>
              </w:r>
              <w:r>
                <w:rPr>
                  <w:i/>
                  <w:iCs/>
                  <w:noProof/>
                </w:rPr>
                <w:t>Revista Iberoamericana de Educación Superior (RIES), XI</w:t>
              </w:r>
              <w:r>
                <w:rPr>
                  <w:noProof/>
                </w:rPr>
                <w:t>(26), 171-190. Recuperado el 16 de 10 de 2018</w:t>
              </w:r>
            </w:p>
            <w:p w:rsidR="00A4238C" w:rsidRDefault="00A4238C" w:rsidP="00A4238C">
              <w:pPr>
                <w:pStyle w:val="Bibliografa"/>
                <w:ind w:left="720" w:hanging="720"/>
                <w:jc w:val="both"/>
                <w:rPr>
                  <w:noProof/>
                </w:rPr>
              </w:pPr>
              <w:r>
                <w:rPr>
                  <w:noProof/>
                </w:rPr>
                <w:t xml:space="preserve">Montaño, M. A. (2014). </w:t>
              </w:r>
              <w:r>
                <w:rPr>
                  <w:i/>
                  <w:iCs/>
                  <w:noProof/>
                </w:rPr>
                <w:t>Modelo de desarrollo económico local para la diversificación de la estructura Productiva y la Articulación del Tejido Empresarial en Baja California Sur.</w:t>
              </w:r>
              <w:r>
                <w:rPr>
                  <w:noProof/>
                </w:rPr>
                <w:t xml:space="preserve"> UNIVERSIDAD AUTONOMA DE BAJA CALIFORNIA, PROGRAMA DE DOCTORADO EN CIENCIAS ADMINISTRATIVAS. TIJUANA, BAJA CALIFORNIA: UNIVERSIDAD AUTONOMA DE BAJA CALIFORNIA. Recuperado el 17 de Octubre de 2018, de http://www.eumed.net/tesis-doctorales/2014/mama/estadistica-multivariante.htm</w:t>
              </w:r>
            </w:p>
            <w:p w:rsidR="00A4238C" w:rsidRDefault="00A4238C" w:rsidP="00A4238C">
              <w:pPr>
                <w:pStyle w:val="Bibliografa"/>
                <w:ind w:left="720" w:hanging="720"/>
                <w:jc w:val="both"/>
                <w:rPr>
                  <w:noProof/>
                </w:rPr>
              </w:pPr>
              <w:r>
                <w:rPr>
                  <w:noProof/>
                </w:rPr>
                <w:t xml:space="preserve">Montero Rojas, E., Villalobos Palma, J., &amp; Valverde Bermúdez, A. (2007). Factores institucionales, pedagógicos, psicosociales y sociodemográficos asociados al rendimiento académico en la Universidad de Costa Rica: Un análisis multinivel. </w:t>
              </w:r>
              <w:r>
                <w:rPr>
                  <w:i/>
                  <w:iCs/>
                  <w:noProof/>
                </w:rPr>
                <w:t>RELIEVE, XIII</w:t>
              </w:r>
              <w:r>
                <w:rPr>
                  <w:noProof/>
                </w:rPr>
                <w:t>(2), 215-234. Obtenido de www.uv.es/RELIEVE/v13n2/RELIEVEv13n2_5.htm</w:t>
              </w:r>
            </w:p>
            <w:p w:rsidR="00A4238C" w:rsidRDefault="00A4238C" w:rsidP="00A4238C">
              <w:pPr>
                <w:pStyle w:val="Bibliografa"/>
                <w:ind w:left="720" w:hanging="720"/>
                <w:jc w:val="both"/>
                <w:rPr>
                  <w:noProof/>
                </w:rPr>
              </w:pPr>
              <w:r>
                <w:rPr>
                  <w:noProof/>
                </w:rPr>
                <w:t xml:space="preserve">Ruiz, M., Pardo, A., &amp; San Martín, R. (2010). MODELOS DE ECUACIONES ESTRUCTURALES. </w:t>
              </w:r>
              <w:r>
                <w:rPr>
                  <w:i/>
                  <w:iCs/>
                  <w:noProof/>
                </w:rPr>
                <w:t>Papeles del Psicólogo, XXXI</w:t>
              </w:r>
              <w:r>
                <w:rPr>
                  <w:noProof/>
                </w:rPr>
                <w:t>(1), 34-45. Recuperado el 17 de Octubre de 2018, de http://www.redalyc.org/articulo.oa?id=77812441004</w:t>
              </w:r>
            </w:p>
            <w:p w:rsidR="00A4238C" w:rsidRDefault="00A4238C" w:rsidP="00A4238C">
              <w:pPr>
                <w:pStyle w:val="Bibliografa"/>
                <w:ind w:left="720" w:hanging="720"/>
                <w:jc w:val="both"/>
                <w:rPr>
                  <w:noProof/>
                </w:rPr>
              </w:pPr>
              <w:r>
                <w:rPr>
                  <w:noProof/>
                </w:rPr>
                <w:t xml:space="preserve">Tejedor, F., &amp; García-Valcárcel, A. (2007). CAUSAS DEL BAJO RENDIMIENTO DEL ESTUDIANTE UNIVERSITARIO (EN OPINIÓN DE LOS PROFESORES Y ALUMNOS). PROPUESTAS DE MEJORA EN EL MARCO DEL EEES. </w:t>
              </w:r>
              <w:r>
                <w:rPr>
                  <w:i/>
                  <w:iCs/>
                  <w:noProof/>
                </w:rPr>
                <w:t>Revista de Educación</w:t>
              </w:r>
              <w:r>
                <w:rPr>
                  <w:noProof/>
                </w:rPr>
                <w:t>(343), 443-473. Recuperado el 17 de Octubre de 2018</w:t>
              </w:r>
            </w:p>
            <w:p w:rsidR="00A4238C" w:rsidRDefault="00A4238C" w:rsidP="00A4238C">
              <w:pPr>
                <w:pStyle w:val="Bibliografa"/>
                <w:ind w:left="720" w:hanging="720"/>
                <w:jc w:val="both"/>
                <w:rPr>
                  <w:noProof/>
                </w:rPr>
              </w:pPr>
              <w:r>
                <w:rPr>
                  <w:noProof/>
                </w:rPr>
                <w:t xml:space="preserve">Velázquez Narváez, Y., Medina, G., &amp; Mario. (2017). Factores asociados a la permanencia de estudiantesuniversitarios: caso UAMM-UAT. </w:t>
              </w:r>
              <w:r>
                <w:rPr>
                  <w:i/>
                  <w:iCs/>
                  <w:noProof/>
                </w:rPr>
                <w:t>Revista de la Educación Superior</w:t>
              </w:r>
              <w:r>
                <w:rPr>
                  <w:noProof/>
                </w:rPr>
                <w:t>(46), 117-138. doi:https://doi.org/10.1016/j.resu.2017.11.003</w:t>
              </w:r>
            </w:p>
            <w:p w:rsidR="00A4238C" w:rsidRDefault="00A4238C" w:rsidP="00A4238C">
              <w:pPr>
                <w:pStyle w:val="Bibliografa"/>
                <w:ind w:left="720" w:hanging="720"/>
                <w:jc w:val="both"/>
                <w:rPr>
                  <w:noProof/>
                </w:rPr>
              </w:pPr>
              <w:r>
                <w:rPr>
                  <w:noProof/>
                </w:rPr>
                <w:t xml:space="preserve">Vergel-Ortega, M., Martínez-Lozano, J., &amp; Zafra-Tristancho, S. (2016). Factores asociados al rendimiento académico en adultos. </w:t>
              </w:r>
              <w:r>
                <w:rPr>
                  <w:i/>
                  <w:iCs/>
                  <w:noProof/>
                </w:rPr>
                <w:t>Revista Científica</w:t>
              </w:r>
              <w:r>
                <w:rPr>
                  <w:noProof/>
                </w:rPr>
                <w:t>(25), 206-215. doi:10.14483/udistrital.jour.RC.2016.25.a4</w:t>
              </w:r>
            </w:p>
            <w:p w:rsidR="00A4238C" w:rsidRDefault="00A4238C" w:rsidP="00A4238C">
              <w:pPr>
                <w:pStyle w:val="Bibliografa"/>
                <w:ind w:left="720" w:hanging="720"/>
                <w:jc w:val="both"/>
                <w:rPr>
                  <w:noProof/>
                </w:rPr>
              </w:pPr>
              <w:r>
                <w:rPr>
                  <w:noProof/>
                </w:rPr>
                <w:t xml:space="preserve">XLSTAT. (20 de Octubre de 2017). </w:t>
              </w:r>
              <w:r>
                <w:rPr>
                  <w:i/>
                  <w:iCs/>
                  <w:noProof/>
                </w:rPr>
                <w:t>Modelo PLS básico: creación y ejecución</w:t>
              </w:r>
              <w:r>
                <w:rPr>
                  <w:noProof/>
                </w:rPr>
                <w:t>. Recuperado el 17 de Octubre de 2018, de Centro de soporte XLSTAT: https://help.xlstat.com/customer/es/portal/articles/2062300-create-run-a-basic-pls-path-modeling-project?_ga=2.151802937.183091945.1540818555-1660827371.1540316320</w:t>
              </w:r>
            </w:p>
            <w:p w:rsidR="003E6544" w:rsidRPr="00527C56" w:rsidRDefault="00980616" w:rsidP="00891126">
              <w:pPr>
                <w:spacing w:line="276" w:lineRule="auto"/>
                <w:jc w:val="both"/>
                <w:rPr>
                  <w:sz w:val="24"/>
                </w:rPr>
              </w:pPr>
              <w:r>
                <w:rPr>
                  <w:b/>
                  <w:bCs/>
                </w:rPr>
                <w:fldChar w:fldCharType="end"/>
              </w:r>
            </w:p>
          </w:sdtContent>
        </w:sdt>
      </w:sdtContent>
    </w:sdt>
    <w:sectPr w:rsidR="003E6544" w:rsidRPr="00527C56" w:rsidSect="00FF3050">
      <w:footerReference w:type="default" r:id="rId23"/>
      <w:type w:val="continuous"/>
      <w:pgSz w:w="11906" w:h="16838"/>
      <w:pgMar w:top="1417" w:right="1701" w:bottom="1417" w:left="1701" w:header="708" w:footer="697" w:gutter="0"/>
      <w:pgNumType w:start="1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5F5" w:rsidRDefault="003725F5" w:rsidP="00CA344C">
      <w:pPr>
        <w:spacing w:after="0" w:line="240" w:lineRule="auto"/>
      </w:pPr>
      <w:r>
        <w:separator/>
      </w:r>
    </w:p>
  </w:endnote>
  <w:endnote w:type="continuationSeparator" w:id="0">
    <w:p w:rsidR="003725F5" w:rsidRDefault="003725F5" w:rsidP="00CA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GillSans-Light">
    <w:altName w:val="Eras Light IT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88712"/>
      <w:docPartObj>
        <w:docPartGallery w:val="Page Numbers (Bottom of Page)"/>
        <w:docPartUnique/>
      </w:docPartObj>
    </w:sdtPr>
    <w:sdtContent>
      <w:p w:rsidR="00A4238C" w:rsidRDefault="00A4238C">
        <w:pPr>
          <w:pStyle w:val="Piedepgina"/>
          <w:jc w:val="right"/>
        </w:pPr>
        <w:r>
          <w:fldChar w:fldCharType="begin"/>
        </w:r>
        <w:r>
          <w:instrText>PAGE   \* MERGEFORMAT</w:instrText>
        </w:r>
        <w:r>
          <w:fldChar w:fldCharType="separate"/>
        </w:r>
        <w:r w:rsidR="00B71B71" w:rsidRPr="00B71B71">
          <w:rPr>
            <w:noProof/>
            <w:lang w:val="es-ES"/>
          </w:rPr>
          <w:t>146</w:t>
        </w:r>
        <w:r>
          <w:fldChar w:fldCharType="end"/>
        </w:r>
      </w:p>
      <w:p w:rsidR="00A4238C" w:rsidRDefault="00A4238C" w:rsidP="00A4238C">
        <w:pPr>
          <w:pStyle w:val="Piedepgina"/>
          <w:pBdr>
            <w:bottom w:val="single" w:sz="12" w:space="1" w:color="auto"/>
          </w:pBdr>
          <w:ind w:left="-426" w:right="-460"/>
          <w:rPr>
            <w:rFonts w:ascii="GillSans-Light" w:hAnsi="GillSans-Light"/>
            <w:b/>
            <w:sz w:val="18"/>
            <w:szCs w:val="18"/>
          </w:rPr>
        </w:pPr>
      </w:p>
      <w:p w:rsidR="00A4238C" w:rsidRDefault="00A4238C" w:rsidP="00A4238C">
        <w:pPr>
          <w:pStyle w:val="Piedepgina"/>
          <w:pBdr>
            <w:bottom w:val="single" w:sz="12" w:space="1" w:color="auto"/>
          </w:pBdr>
          <w:ind w:left="-426" w:right="-460"/>
          <w:rPr>
            <w:rFonts w:ascii="GillSans-Light" w:hAnsi="GillSans-Light"/>
            <w:b/>
            <w:sz w:val="18"/>
            <w:szCs w:val="18"/>
          </w:rPr>
        </w:pPr>
      </w:p>
      <w:p w:rsidR="00A4238C" w:rsidRDefault="00A4238C" w:rsidP="00A4238C">
        <w:pPr>
          <w:spacing w:after="0" w:line="240" w:lineRule="auto"/>
          <w:jc w:val="both"/>
        </w:pPr>
        <w:r w:rsidRPr="001D65B9">
          <w:rPr>
            <w:rFonts w:ascii="GillSans-Light" w:hAnsi="GillSans-Light"/>
            <w:b/>
            <w:sz w:val="18"/>
            <w:szCs w:val="18"/>
          </w:rPr>
          <w:t>C</w:t>
        </w:r>
        <w:r>
          <w:rPr>
            <w:rFonts w:ascii="GillSans-Light" w:hAnsi="GillSans-Light"/>
            <w:b/>
            <w:sz w:val="18"/>
            <w:szCs w:val="18"/>
          </w:rPr>
          <w:t>ÁRDENAS</w:t>
        </w:r>
        <w:r w:rsidRPr="001D65B9">
          <w:rPr>
            <w:rFonts w:ascii="GillSans-Light" w:hAnsi="GillSans-Light"/>
            <w:b/>
            <w:sz w:val="18"/>
            <w:szCs w:val="18"/>
          </w:rPr>
          <w:t>, Gisselle</w:t>
        </w:r>
        <w:r w:rsidRPr="001D65B9">
          <w:rPr>
            <w:rFonts w:ascii="GillSans-Light" w:hAnsi="GillSans-Light"/>
            <w:b/>
            <w:sz w:val="18"/>
            <w:szCs w:val="18"/>
            <w:vertAlign w:val="superscript"/>
          </w:rPr>
          <w:t xml:space="preserve">1 </w:t>
        </w:r>
        <w:r w:rsidRPr="001D65B9">
          <w:rPr>
            <w:rFonts w:ascii="GillSans-Light" w:hAnsi="GillSans-Light"/>
            <w:b/>
            <w:sz w:val="18"/>
            <w:szCs w:val="18"/>
          </w:rPr>
          <w:t xml:space="preserve"> B</w:t>
        </w:r>
        <w:r>
          <w:rPr>
            <w:rFonts w:ascii="GillSans-Light" w:hAnsi="GillSans-Light"/>
            <w:b/>
            <w:sz w:val="18"/>
            <w:szCs w:val="18"/>
          </w:rPr>
          <w:t>ASTIDAS</w:t>
        </w:r>
        <w:r w:rsidRPr="001D65B9">
          <w:rPr>
            <w:rFonts w:ascii="GillSans-Light" w:hAnsi="GillSans-Light"/>
            <w:b/>
            <w:sz w:val="18"/>
            <w:szCs w:val="18"/>
          </w:rPr>
          <w:t>, Jeaneth</w:t>
        </w:r>
        <w:r w:rsidRPr="001D65B9">
          <w:rPr>
            <w:rFonts w:ascii="GillSans-Light" w:hAnsi="GillSans-Light"/>
            <w:b/>
            <w:sz w:val="18"/>
            <w:szCs w:val="18"/>
            <w:vertAlign w:val="superscript"/>
          </w:rPr>
          <w:t>2</w:t>
        </w:r>
        <w:r w:rsidRPr="001D65B9">
          <w:rPr>
            <w:rFonts w:ascii="GillSans-Light" w:hAnsi="GillSans-Light"/>
            <w:b/>
            <w:sz w:val="18"/>
            <w:szCs w:val="18"/>
          </w:rPr>
          <w:t xml:space="preserve"> G</w:t>
        </w:r>
        <w:r>
          <w:rPr>
            <w:rFonts w:ascii="GillSans-Light" w:hAnsi="GillSans-Light"/>
            <w:b/>
            <w:sz w:val="18"/>
            <w:szCs w:val="18"/>
          </w:rPr>
          <w:t>UARTASACA</w:t>
        </w:r>
        <w:r w:rsidRPr="001D65B9">
          <w:rPr>
            <w:rFonts w:ascii="GillSans-Light" w:hAnsi="GillSans-Light"/>
            <w:b/>
            <w:sz w:val="18"/>
            <w:szCs w:val="18"/>
          </w:rPr>
          <w:t>, Diana</w:t>
        </w:r>
        <w:r w:rsidRPr="001D65B9">
          <w:rPr>
            <w:rFonts w:ascii="GillSans-Light" w:hAnsi="GillSans-Light"/>
            <w:b/>
            <w:sz w:val="18"/>
            <w:szCs w:val="18"/>
            <w:vertAlign w:val="superscript"/>
          </w:rPr>
          <w:t xml:space="preserve">3.  </w:t>
        </w:r>
        <w:r w:rsidRPr="001D65B9">
          <w:rPr>
            <w:rFonts w:ascii="GillSans-Light" w:hAnsi="GillSans-Light"/>
            <w:b/>
            <w:sz w:val="18"/>
            <w:szCs w:val="18"/>
          </w:rPr>
          <w:t xml:space="preserve"> </w:t>
        </w:r>
        <w:r>
          <w:rPr>
            <w:rFonts w:ascii="MinionPro-Regular" w:hAnsi="MinionPro-Regular" w:cs="MinionPro-Regular"/>
            <w:sz w:val="16"/>
            <w:szCs w:val="16"/>
            <w:lang w:val="es-ES" w:eastAsia="pt-BR"/>
          </w:rPr>
          <w:t>(Universidad Técnica del Norte, Ibarra-Ecuador. Vol. 1 N 1. Pp.135-147 -. ISSN impreso 2661-6793. ISSN en línea 2661- 6785. Julio- Diciembre 2019.</w:t>
        </w:r>
      </w:p>
    </w:sdtContent>
  </w:sdt>
  <w:p w:rsidR="00FF3050" w:rsidRDefault="00FF3050" w:rsidP="00A4238C">
    <w:pPr>
      <w:pStyle w:val="Piedepgina"/>
      <w:pBdr>
        <w:bottom w:val="single" w:sz="12" w:space="1" w:color="auto"/>
      </w:pBdr>
      <w:ind w:left="-426" w:right="-460"/>
      <w:jc w:val="center"/>
      <w:rPr>
        <w:rFonts w:ascii="GillSans-Light" w:hAnsi="GillSans-Light"/>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38C" w:rsidRDefault="00A4238C" w:rsidP="00A4238C">
    <w:pPr>
      <w:pStyle w:val="Piedepgina"/>
      <w:pBdr>
        <w:bottom w:val="single" w:sz="12" w:space="1" w:color="auto"/>
      </w:pBdr>
      <w:ind w:left="-426" w:right="-460"/>
      <w:jc w:val="center"/>
      <w:rPr>
        <w:rFonts w:ascii="GillSans-Light" w:hAnsi="GillSans-Light"/>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5F5" w:rsidRDefault="003725F5" w:rsidP="00CA344C">
      <w:pPr>
        <w:spacing w:after="0" w:line="240" w:lineRule="auto"/>
      </w:pPr>
      <w:r>
        <w:separator/>
      </w:r>
    </w:p>
  </w:footnote>
  <w:footnote w:type="continuationSeparator" w:id="0">
    <w:p w:rsidR="003725F5" w:rsidRDefault="003725F5" w:rsidP="00CA3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50" w:rsidRDefault="00FF3050" w:rsidP="00CA344C">
    <w:pPr>
      <w:pStyle w:val="Encabezado"/>
      <w:pBdr>
        <w:bottom w:val="single" w:sz="6" w:space="1" w:color="auto"/>
      </w:pBdr>
      <w:ind w:left="-426" w:right="-460"/>
      <w:jc w:val="right"/>
      <w:rPr>
        <w:rFonts w:ascii="MinionPro-Regular" w:hAnsi="MinionPro-Regular" w:cs="MinionPro-Regular"/>
        <w:sz w:val="16"/>
        <w:szCs w:val="16"/>
        <w:lang w:val="es-ES" w:eastAsia="pt-BR"/>
      </w:rPr>
    </w:pPr>
    <w:r>
      <w:rPr>
        <w:rFonts w:ascii="MinionPro-Regular" w:hAnsi="MinionPro-Regular" w:cs="MinionPro-Regular"/>
        <w:sz w:val="16"/>
        <w:szCs w:val="16"/>
        <w:lang w:val="es-ES" w:eastAsia="pt-BR"/>
      </w:rPr>
      <w:t xml:space="preserve">JOURNAL RECINATUR INTERNACIONAL  </w:t>
    </w:r>
  </w:p>
  <w:p w:rsidR="00FF3050" w:rsidRPr="00CA344C" w:rsidRDefault="00FF3050" w:rsidP="00CA344C">
    <w:pPr>
      <w:pStyle w:val="Encabezado"/>
      <w:pBdr>
        <w:bottom w:val="single" w:sz="6" w:space="1" w:color="auto"/>
      </w:pBdr>
      <w:ind w:left="-426" w:right="-460"/>
      <w:jc w:val="both"/>
      <w:rPr>
        <w:b/>
        <w:sz w:val="28"/>
        <w:szCs w:val="28"/>
      </w:rPr>
    </w:pPr>
    <w:r w:rsidRPr="00CA344C">
      <w:rPr>
        <w:rFonts w:ascii="GillSans-Light" w:hAnsi="GillSans-Light"/>
        <w:b/>
        <w:sz w:val="18"/>
        <w:szCs w:val="18"/>
      </w:rPr>
      <w:t>FACTORES ASOCIADOS AL RENDIMIENTO ACADÉMICO. CASO DE ESTUDIO DE LA CARRERA DE ADMINISTRACIÓN DE EMPRESAS DE LA UNIVERSIDAD POLITÉCNICA ESTATAL DEL CARCHI</w:t>
    </w:r>
  </w:p>
  <w:p w:rsidR="00FF3050" w:rsidRPr="00A06D33" w:rsidRDefault="00FF3050" w:rsidP="00CA344C">
    <w:pPr>
      <w:pStyle w:val="Encabezado"/>
      <w:pBdr>
        <w:bottom w:val="single" w:sz="6" w:space="1" w:color="auto"/>
      </w:pBdr>
      <w:ind w:left="-426" w:right="-460"/>
      <w:jc w:val="right"/>
      <w:rPr>
        <w:rFonts w:ascii="GillSans-Light" w:hAnsi="GillSans-Light"/>
        <w:sz w:val="18"/>
        <w:szCs w:val="18"/>
      </w:rPr>
    </w:pPr>
    <w:r w:rsidRPr="002C04F5">
      <w:rPr>
        <w:rFonts w:ascii="GillSans-Light" w:hAnsi="GillSans-Light"/>
        <w:sz w:val="18"/>
        <w:szCs w:val="18"/>
      </w:rPr>
      <w:t xml:space="preserve">O </w:t>
    </w:r>
  </w:p>
  <w:p w:rsidR="00FF3050" w:rsidRDefault="00FF30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3919"/>
    <w:multiLevelType w:val="hybridMultilevel"/>
    <w:tmpl w:val="21ECDD0A"/>
    <w:lvl w:ilvl="0" w:tplc="7BF289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A8"/>
    <w:rsid w:val="000019FC"/>
    <w:rsid w:val="0000251E"/>
    <w:rsid w:val="000157CA"/>
    <w:rsid w:val="00016F1C"/>
    <w:rsid w:val="00020664"/>
    <w:rsid w:val="00022A03"/>
    <w:rsid w:val="00026DCA"/>
    <w:rsid w:val="000340A4"/>
    <w:rsid w:val="00042D84"/>
    <w:rsid w:val="0005070A"/>
    <w:rsid w:val="00056E11"/>
    <w:rsid w:val="00060664"/>
    <w:rsid w:val="0006217F"/>
    <w:rsid w:val="00067BE0"/>
    <w:rsid w:val="00070665"/>
    <w:rsid w:val="0007457E"/>
    <w:rsid w:val="00083B2E"/>
    <w:rsid w:val="000A5DE3"/>
    <w:rsid w:val="000C1E40"/>
    <w:rsid w:val="000C74C3"/>
    <w:rsid w:val="000D3D47"/>
    <w:rsid w:val="000E5B7C"/>
    <w:rsid w:val="000F72AD"/>
    <w:rsid w:val="0010604B"/>
    <w:rsid w:val="00106BDB"/>
    <w:rsid w:val="001216FF"/>
    <w:rsid w:val="00135445"/>
    <w:rsid w:val="00135B55"/>
    <w:rsid w:val="001377B5"/>
    <w:rsid w:val="00151EF8"/>
    <w:rsid w:val="001603D2"/>
    <w:rsid w:val="0016733C"/>
    <w:rsid w:val="0017307B"/>
    <w:rsid w:val="001805CE"/>
    <w:rsid w:val="0018335F"/>
    <w:rsid w:val="001A5096"/>
    <w:rsid w:val="001A5963"/>
    <w:rsid w:val="001C2863"/>
    <w:rsid w:val="001C31C5"/>
    <w:rsid w:val="001D5A7D"/>
    <w:rsid w:val="001D65B9"/>
    <w:rsid w:val="001E0C46"/>
    <w:rsid w:val="001F2A14"/>
    <w:rsid w:val="00202BFB"/>
    <w:rsid w:val="002062A8"/>
    <w:rsid w:val="00212AAF"/>
    <w:rsid w:val="00216475"/>
    <w:rsid w:val="0022242A"/>
    <w:rsid w:val="002233C2"/>
    <w:rsid w:val="0022591F"/>
    <w:rsid w:val="002326EE"/>
    <w:rsid w:val="002407B7"/>
    <w:rsid w:val="0024391C"/>
    <w:rsid w:val="002644B6"/>
    <w:rsid w:val="002678A9"/>
    <w:rsid w:val="00270FD0"/>
    <w:rsid w:val="00271D07"/>
    <w:rsid w:val="00273667"/>
    <w:rsid w:val="002763CA"/>
    <w:rsid w:val="00292BA7"/>
    <w:rsid w:val="00296279"/>
    <w:rsid w:val="002974E3"/>
    <w:rsid w:val="002A1F1F"/>
    <w:rsid w:val="002B4F05"/>
    <w:rsid w:val="002B5FCE"/>
    <w:rsid w:val="002B723A"/>
    <w:rsid w:val="002C23EB"/>
    <w:rsid w:val="002C2E34"/>
    <w:rsid w:val="002C74D1"/>
    <w:rsid w:val="002D7D3F"/>
    <w:rsid w:val="002E28B5"/>
    <w:rsid w:val="002E7344"/>
    <w:rsid w:val="002F0A41"/>
    <w:rsid w:val="002F54E9"/>
    <w:rsid w:val="002F5B54"/>
    <w:rsid w:val="003007F1"/>
    <w:rsid w:val="00304BBB"/>
    <w:rsid w:val="00310AAA"/>
    <w:rsid w:val="003139A4"/>
    <w:rsid w:val="00316561"/>
    <w:rsid w:val="00351CBF"/>
    <w:rsid w:val="00364CD8"/>
    <w:rsid w:val="00365DDD"/>
    <w:rsid w:val="00370821"/>
    <w:rsid w:val="0037211C"/>
    <w:rsid w:val="003725F5"/>
    <w:rsid w:val="00374055"/>
    <w:rsid w:val="003758AE"/>
    <w:rsid w:val="00375A56"/>
    <w:rsid w:val="003916D7"/>
    <w:rsid w:val="003975C0"/>
    <w:rsid w:val="00397715"/>
    <w:rsid w:val="003A4C1C"/>
    <w:rsid w:val="003A7DBE"/>
    <w:rsid w:val="003C26DE"/>
    <w:rsid w:val="003C3C5F"/>
    <w:rsid w:val="003C6188"/>
    <w:rsid w:val="003D06E3"/>
    <w:rsid w:val="003D6782"/>
    <w:rsid w:val="003E1E20"/>
    <w:rsid w:val="003E2E01"/>
    <w:rsid w:val="003E6544"/>
    <w:rsid w:val="003E7C5F"/>
    <w:rsid w:val="003F1500"/>
    <w:rsid w:val="003F4991"/>
    <w:rsid w:val="003F6CDF"/>
    <w:rsid w:val="00401886"/>
    <w:rsid w:val="00403344"/>
    <w:rsid w:val="0040694B"/>
    <w:rsid w:val="004102D8"/>
    <w:rsid w:val="0041231B"/>
    <w:rsid w:val="004138B3"/>
    <w:rsid w:val="00420207"/>
    <w:rsid w:val="00424B16"/>
    <w:rsid w:val="00443A1D"/>
    <w:rsid w:val="004668C8"/>
    <w:rsid w:val="004827B4"/>
    <w:rsid w:val="00485EA7"/>
    <w:rsid w:val="00493681"/>
    <w:rsid w:val="0049650E"/>
    <w:rsid w:val="004A5DB1"/>
    <w:rsid w:val="004D63CA"/>
    <w:rsid w:val="004D642A"/>
    <w:rsid w:val="004E07DD"/>
    <w:rsid w:val="004E237A"/>
    <w:rsid w:val="004F217B"/>
    <w:rsid w:val="004F4ADC"/>
    <w:rsid w:val="00500A4D"/>
    <w:rsid w:val="0050217B"/>
    <w:rsid w:val="0051182E"/>
    <w:rsid w:val="00527C56"/>
    <w:rsid w:val="0053448B"/>
    <w:rsid w:val="00534B95"/>
    <w:rsid w:val="005403B6"/>
    <w:rsid w:val="00542974"/>
    <w:rsid w:val="00544CE4"/>
    <w:rsid w:val="00551D8F"/>
    <w:rsid w:val="0055392D"/>
    <w:rsid w:val="00553B89"/>
    <w:rsid w:val="00556DAA"/>
    <w:rsid w:val="00560EF5"/>
    <w:rsid w:val="005626DE"/>
    <w:rsid w:val="0057150B"/>
    <w:rsid w:val="005773E2"/>
    <w:rsid w:val="00580402"/>
    <w:rsid w:val="005814A4"/>
    <w:rsid w:val="00586675"/>
    <w:rsid w:val="00590047"/>
    <w:rsid w:val="00595812"/>
    <w:rsid w:val="005A4456"/>
    <w:rsid w:val="005A63A9"/>
    <w:rsid w:val="005A7733"/>
    <w:rsid w:val="005B2D42"/>
    <w:rsid w:val="005B60B4"/>
    <w:rsid w:val="005D387E"/>
    <w:rsid w:val="005E6D2C"/>
    <w:rsid w:val="005F34D8"/>
    <w:rsid w:val="005F5A5A"/>
    <w:rsid w:val="00600330"/>
    <w:rsid w:val="00607054"/>
    <w:rsid w:val="00607152"/>
    <w:rsid w:val="00610AAC"/>
    <w:rsid w:val="006257B3"/>
    <w:rsid w:val="006278A6"/>
    <w:rsid w:val="0063111D"/>
    <w:rsid w:val="00631B1F"/>
    <w:rsid w:val="0063681D"/>
    <w:rsid w:val="006370FC"/>
    <w:rsid w:val="00644C04"/>
    <w:rsid w:val="00650EAF"/>
    <w:rsid w:val="006514BE"/>
    <w:rsid w:val="00651768"/>
    <w:rsid w:val="00652270"/>
    <w:rsid w:val="00652BE4"/>
    <w:rsid w:val="00666D51"/>
    <w:rsid w:val="00670BD2"/>
    <w:rsid w:val="00670DD5"/>
    <w:rsid w:val="00675A03"/>
    <w:rsid w:val="00680B57"/>
    <w:rsid w:val="0068717B"/>
    <w:rsid w:val="00690FFD"/>
    <w:rsid w:val="006956E7"/>
    <w:rsid w:val="00696662"/>
    <w:rsid w:val="006A0783"/>
    <w:rsid w:val="006A7C18"/>
    <w:rsid w:val="006B50F0"/>
    <w:rsid w:val="006B78F3"/>
    <w:rsid w:val="006C1021"/>
    <w:rsid w:val="006C1EA3"/>
    <w:rsid w:val="006E0EF1"/>
    <w:rsid w:val="006F2D14"/>
    <w:rsid w:val="00736047"/>
    <w:rsid w:val="00757B81"/>
    <w:rsid w:val="00767161"/>
    <w:rsid w:val="00770394"/>
    <w:rsid w:val="00786C79"/>
    <w:rsid w:val="007A6604"/>
    <w:rsid w:val="007B2BEB"/>
    <w:rsid w:val="007C3AB3"/>
    <w:rsid w:val="007C49EC"/>
    <w:rsid w:val="007C685F"/>
    <w:rsid w:val="007C7CCC"/>
    <w:rsid w:val="007D17ED"/>
    <w:rsid w:val="007D2208"/>
    <w:rsid w:val="00803F51"/>
    <w:rsid w:val="00812ED4"/>
    <w:rsid w:val="00852562"/>
    <w:rsid w:val="00860516"/>
    <w:rsid w:val="00891126"/>
    <w:rsid w:val="008A25D7"/>
    <w:rsid w:val="008A4EEF"/>
    <w:rsid w:val="008A6CC4"/>
    <w:rsid w:val="008B349D"/>
    <w:rsid w:val="008B3C1F"/>
    <w:rsid w:val="008B3F1E"/>
    <w:rsid w:val="008C3F0D"/>
    <w:rsid w:val="008D17E7"/>
    <w:rsid w:val="008E1C2C"/>
    <w:rsid w:val="008E1D6F"/>
    <w:rsid w:val="008E3E93"/>
    <w:rsid w:val="008E7EFB"/>
    <w:rsid w:val="008F0D22"/>
    <w:rsid w:val="008F4CAA"/>
    <w:rsid w:val="008F55A6"/>
    <w:rsid w:val="008F7AE8"/>
    <w:rsid w:val="0090113B"/>
    <w:rsid w:val="009013A5"/>
    <w:rsid w:val="009033E8"/>
    <w:rsid w:val="00910BB2"/>
    <w:rsid w:val="00914D67"/>
    <w:rsid w:val="00914FE4"/>
    <w:rsid w:val="00921109"/>
    <w:rsid w:val="00927718"/>
    <w:rsid w:val="00941478"/>
    <w:rsid w:val="009416AF"/>
    <w:rsid w:val="00956785"/>
    <w:rsid w:val="00962B11"/>
    <w:rsid w:val="00963D0D"/>
    <w:rsid w:val="00980616"/>
    <w:rsid w:val="00995238"/>
    <w:rsid w:val="009A02CD"/>
    <w:rsid w:val="009B7123"/>
    <w:rsid w:val="009C6D35"/>
    <w:rsid w:val="009F2403"/>
    <w:rsid w:val="009F4804"/>
    <w:rsid w:val="009F5518"/>
    <w:rsid w:val="00A00087"/>
    <w:rsid w:val="00A11004"/>
    <w:rsid w:val="00A13BFB"/>
    <w:rsid w:val="00A241E2"/>
    <w:rsid w:val="00A3364A"/>
    <w:rsid w:val="00A36DE3"/>
    <w:rsid w:val="00A4238C"/>
    <w:rsid w:val="00A60253"/>
    <w:rsid w:val="00A61924"/>
    <w:rsid w:val="00A61AB8"/>
    <w:rsid w:val="00A70A6F"/>
    <w:rsid w:val="00A7266F"/>
    <w:rsid w:val="00A72C0A"/>
    <w:rsid w:val="00A73C65"/>
    <w:rsid w:val="00A74CC8"/>
    <w:rsid w:val="00AB303A"/>
    <w:rsid w:val="00AC0AA8"/>
    <w:rsid w:val="00AC1673"/>
    <w:rsid w:val="00AC308D"/>
    <w:rsid w:val="00AC4920"/>
    <w:rsid w:val="00AD6B20"/>
    <w:rsid w:val="00AE225C"/>
    <w:rsid w:val="00AE49C4"/>
    <w:rsid w:val="00AF05AD"/>
    <w:rsid w:val="00AF2B33"/>
    <w:rsid w:val="00B01038"/>
    <w:rsid w:val="00B0165B"/>
    <w:rsid w:val="00B04CDF"/>
    <w:rsid w:val="00B12C33"/>
    <w:rsid w:val="00B14CAD"/>
    <w:rsid w:val="00B26D41"/>
    <w:rsid w:val="00B30471"/>
    <w:rsid w:val="00B35021"/>
    <w:rsid w:val="00B36771"/>
    <w:rsid w:val="00B601BF"/>
    <w:rsid w:val="00B643C0"/>
    <w:rsid w:val="00B66CB8"/>
    <w:rsid w:val="00B71B71"/>
    <w:rsid w:val="00B81CB5"/>
    <w:rsid w:val="00B86AF4"/>
    <w:rsid w:val="00B87FB6"/>
    <w:rsid w:val="00B903D0"/>
    <w:rsid w:val="00B97289"/>
    <w:rsid w:val="00BA609C"/>
    <w:rsid w:val="00BA6E88"/>
    <w:rsid w:val="00BB1483"/>
    <w:rsid w:val="00BB7A73"/>
    <w:rsid w:val="00BC436C"/>
    <w:rsid w:val="00BC49A2"/>
    <w:rsid w:val="00BE0F9D"/>
    <w:rsid w:val="00BF22D1"/>
    <w:rsid w:val="00BF4A44"/>
    <w:rsid w:val="00BF5A9B"/>
    <w:rsid w:val="00BF71A4"/>
    <w:rsid w:val="00C013F7"/>
    <w:rsid w:val="00C01A6F"/>
    <w:rsid w:val="00C02279"/>
    <w:rsid w:val="00C14D02"/>
    <w:rsid w:val="00C15018"/>
    <w:rsid w:val="00C226BE"/>
    <w:rsid w:val="00C331CE"/>
    <w:rsid w:val="00C35E01"/>
    <w:rsid w:val="00C45EF9"/>
    <w:rsid w:val="00C6797B"/>
    <w:rsid w:val="00C72902"/>
    <w:rsid w:val="00C74157"/>
    <w:rsid w:val="00C85B98"/>
    <w:rsid w:val="00C864D6"/>
    <w:rsid w:val="00CA2398"/>
    <w:rsid w:val="00CA344C"/>
    <w:rsid w:val="00CB00E2"/>
    <w:rsid w:val="00CB1FD7"/>
    <w:rsid w:val="00CB48FF"/>
    <w:rsid w:val="00CC28C9"/>
    <w:rsid w:val="00CF0045"/>
    <w:rsid w:val="00CF1707"/>
    <w:rsid w:val="00D06905"/>
    <w:rsid w:val="00D158B3"/>
    <w:rsid w:val="00D2241B"/>
    <w:rsid w:val="00D25524"/>
    <w:rsid w:val="00D261F3"/>
    <w:rsid w:val="00D276FB"/>
    <w:rsid w:val="00D471A0"/>
    <w:rsid w:val="00D55FAF"/>
    <w:rsid w:val="00D6012D"/>
    <w:rsid w:val="00D62FF2"/>
    <w:rsid w:val="00D674DB"/>
    <w:rsid w:val="00D755DB"/>
    <w:rsid w:val="00D75D2F"/>
    <w:rsid w:val="00D850E1"/>
    <w:rsid w:val="00D96261"/>
    <w:rsid w:val="00DB0A50"/>
    <w:rsid w:val="00DC4C7B"/>
    <w:rsid w:val="00DD1B8F"/>
    <w:rsid w:val="00DD7131"/>
    <w:rsid w:val="00DD7333"/>
    <w:rsid w:val="00DE3437"/>
    <w:rsid w:val="00DE4A1E"/>
    <w:rsid w:val="00DF417A"/>
    <w:rsid w:val="00DF50B1"/>
    <w:rsid w:val="00DF630D"/>
    <w:rsid w:val="00DF7BEF"/>
    <w:rsid w:val="00E0435C"/>
    <w:rsid w:val="00E0731A"/>
    <w:rsid w:val="00E1510C"/>
    <w:rsid w:val="00E15D39"/>
    <w:rsid w:val="00E20DA8"/>
    <w:rsid w:val="00E272AE"/>
    <w:rsid w:val="00E27D1A"/>
    <w:rsid w:val="00E56CDE"/>
    <w:rsid w:val="00E64529"/>
    <w:rsid w:val="00E74980"/>
    <w:rsid w:val="00E757EE"/>
    <w:rsid w:val="00E7755B"/>
    <w:rsid w:val="00E800E3"/>
    <w:rsid w:val="00EA2D76"/>
    <w:rsid w:val="00EA3360"/>
    <w:rsid w:val="00EA568D"/>
    <w:rsid w:val="00EC599A"/>
    <w:rsid w:val="00ED1B2D"/>
    <w:rsid w:val="00ED70DD"/>
    <w:rsid w:val="00EF3F7D"/>
    <w:rsid w:val="00F02775"/>
    <w:rsid w:val="00F05AC5"/>
    <w:rsid w:val="00F066C6"/>
    <w:rsid w:val="00F06C3E"/>
    <w:rsid w:val="00F11AD8"/>
    <w:rsid w:val="00F26BA6"/>
    <w:rsid w:val="00F34866"/>
    <w:rsid w:val="00F44A43"/>
    <w:rsid w:val="00F50F88"/>
    <w:rsid w:val="00F66B80"/>
    <w:rsid w:val="00F72990"/>
    <w:rsid w:val="00F76A97"/>
    <w:rsid w:val="00F76E82"/>
    <w:rsid w:val="00F802BF"/>
    <w:rsid w:val="00FA6B33"/>
    <w:rsid w:val="00FB05B5"/>
    <w:rsid w:val="00FB6115"/>
    <w:rsid w:val="00FC0741"/>
    <w:rsid w:val="00FC0C17"/>
    <w:rsid w:val="00FD4106"/>
    <w:rsid w:val="00FE3DB0"/>
    <w:rsid w:val="00FF3050"/>
    <w:rsid w:val="00FF49C2"/>
    <w:rsid w:val="00FF52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1C0B20-1AFA-4DD3-B3EA-E2091DD5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061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Ttulo2">
    <w:name w:val="heading 2"/>
    <w:basedOn w:val="Normal"/>
    <w:next w:val="Normal"/>
    <w:link w:val="Ttulo2Car"/>
    <w:uiPriority w:val="9"/>
    <w:unhideWhenUsed/>
    <w:qFormat/>
    <w:rsid w:val="00E272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autoRedefine/>
    <w:uiPriority w:val="35"/>
    <w:unhideWhenUsed/>
    <w:qFormat/>
    <w:rsid w:val="00DD7333"/>
    <w:pPr>
      <w:keepNext/>
      <w:spacing w:after="0" w:line="240" w:lineRule="auto"/>
      <w:jc w:val="both"/>
    </w:pPr>
    <w:rPr>
      <w:iCs/>
      <w:szCs w:val="18"/>
    </w:rPr>
  </w:style>
  <w:style w:type="table" w:styleId="Tablanormal4">
    <w:name w:val="Plain Table 4"/>
    <w:basedOn w:val="Tablanormal"/>
    <w:uiPriority w:val="44"/>
    <w:rsid w:val="0060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F05AC5"/>
    <w:pPr>
      <w:ind w:left="720"/>
      <w:contextualSpacing/>
    </w:pPr>
  </w:style>
  <w:style w:type="character" w:customStyle="1" w:styleId="Ttulo1Car">
    <w:name w:val="Título 1 Car"/>
    <w:basedOn w:val="Fuentedeprrafopredeter"/>
    <w:link w:val="Ttulo1"/>
    <w:uiPriority w:val="9"/>
    <w:rsid w:val="00980616"/>
    <w:rPr>
      <w:rFonts w:asciiTheme="majorHAnsi" w:eastAsiaTheme="majorEastAsia" w:hAnsiTheme="majorHAnsi" w:cstheme="majorBidi"/>
      <w:color w:val="2E74B5" w:themeColor="accent1" w:themeShade="BF"/>
      <w:sz w:val="32"/>
      <w:szCs w:val="32"/>
      <w:lang w:val="en-US"/>
    </w:rPr>
  </w:style>
  <w:style w:type="paragraph" w:styleId="Bibliografa">
    <w:name w:val="Bibliography"/>
    <w:basedOn w:val="Normal"/>
    <w:next w:val="Normal"/>
    <w:uiPriority w:val="37"/>
    <w:unhideWhenUsed/>
    <w:rsid w:val="00980616"/>
  </w:style>
  <w:style w:type="table" w:styleId="Tablanormal2">
    <w:name w:val="Plain Table 2"/>
    <w:basedOn w:val="Tablanormal"/>
    <w:uiPriority w:val="42"/>
    <w:rsid w:val="00C150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E272A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A34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344C"/>
  </w:style>
  <w:style w:type="paragraph" w:styleId="Piedepgina">
    <w:name w:val="footer"/>
    <w:basedOn w:val="Normal"/>
    <w:link w:val="PiedepginaCar"/>
    <w:uiPriority w:val="99"/>
    <w:unhideWhenUsed/>
    <w:rsid w:val="00CA34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344C"/>
  </w:style>
  <w:style w:type="character" w:styleId="Hipervnculo">
    <w:name w:val="Hyperlink"/>
    <w:basedOn w:val="Fuentedeprrafopredeter"/>
    <w:uiPriority w:val="99"/>
    <w:unhideWhenUsed/>
    <w:rsid w:val="00CA34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7679">
      <w:bodyDiv w:val="1"/>
      <w:marLeft w:val="0"/>
      <w:marRight w:val="0"/>
      <w:marTop w:val="0"/>
      <w:marBottom w:val="0"/>
      <w:divBdr>
        <w:top w:val="none" w:sz="0" w:space="0" w:color="auto"/>
        <w:left w:val="none" w:sz="0" w:space="0" w:color="auto"/>
        <w:bottom w:val="none" w:sz="0" w:space="0" w:color="auto"/>
        <w:right w:val="none" w:sz="0" w:space="0" w:color="auto"/>
      </w:divBdr>
    </w:div>
    <w:div w:id="44917027">
      <w:bodyDiv w:val="1"/>
      <w:marLeft w:val="0"/>
      <w:marRight w:val="0"/>
      <w:marTop w:val="0"/>
      <w:marBottom w:val="0"/>
      <w:divBdr>
        <w:top w:val="none" w:sz="0" w:space="0" w:color="auto"/>
        <w:left w:val="none" w:sz="0" w:space="0" w:color="auto"/>
        <w:bottom w:val="none" w:sz="0" w:space="0" w:color="auto"/>
        <w:right w:val="none" w:sz="0" w:space="0" w:color="auto"/>
      </w:divBdr>
    </w:div>
    <w:div w:id="54814433">
      <w:bodyDiv w:val="1"/>
      <w:marLeft w:val="0"/>
      <w:marRight w:val="0"/>
      <w:marTop w:val="0"/>
      <w:marBottom w:val="0"/>
      <w:divBdr>
        <w:top w:val="none" w:sz="0" w:space="0" w:color="auto"/>
        <w:left w:val="none" w:sz="0" w:space="0" w:color="auto"/>
        <w:bottom w:val="none" w:sz="0" w:space="0" w:color="auto"/>
        <w:right w:val="none" w:sz="0" w:space="0" w:color="auto"/>
      </w:divBdr>
    </w:div>
    <w:div w:id="56369000">
      <w:bodyDiv w:val="1"/>
      <w:marLeft w:val="0"/>
      <w:marRight w:val="0"/>
      <w:marTop w:val="0"/>
      <w:marBottom w:val="0"/>
      <w:divBdr>
        <w:top w:val="none" w:sz="0" w:space="0" w:color="auto"/>
        <w:left w:val="none" w:sz="0" w:space="0" w:color="auto"/>
        <w:bottom w:val="none" w:sz="0" w:space="0" w:color="auto"/>
        <w:right w:val="none" w:sz="0" w:space="0" w:color="auto"/>
      </w:divBdr>
    </w:div>
    <w:div w:id="65687055">
      <w:bodyDiv w:val="1"/>
      <w:marLeft w:val="0"/>
      <w:marRight w:val="0"/>
      <w:marTop w:val="0"/>
      <w:marBottom w:val="0"/>
      <w:divBdr>
        <w:top w:val="none" w:sz="0" w:space="0" w:color="auto"/>
        <w:left w:val="none" w:sz="0" w:space="0" w:color="auto"/>
        <w:bottom w:val="none" w:sz="0" w:space="0" w:color="auto"/>
        <w:right w:val="none" w:sz="0" w:space="0" w:color="auto"/>
      </w:divBdr>
    </w:div>
    <w:div w:id="70733945">
      <w:bodyDiv w:val="1"/>
      <w:marLeft w:val="0"/>
      <w:marRight w:val="0"/>
      <w:marTop w:val="0"/>
      <w:marBottom w:val="0"/>
      <w:divBdr>
        <w:top w:val="none" w:sz="0" w:space="0" w:color="auto"/>
        <w:left w:val="none" w:sz="0" w:space="0" w:color="auto"/>
        <w:bottom w:val="none" w:sz="0" w:space="0" w:color="auto"/>
        <w:right w:val="none" w:sz="0" w:space="0" w:color="auto"/>
      </w:divBdr>
    </w:div>
    <w:div w:id="106392682">
      <w:bodyDiv w:val="1"/>
      <w:marLeft w:val="0"/>
      <w:marRight w:val="0"/>
      <w:marTop w:val="0"/>
      <w:marBottom w:val="0"/>
      <w:divBdr>
        <w:top w:val="none" w:sz="0" w:space="0" w:color="auto"/>
        <w:left w:val="none" w:sz="0" w:space="0" w:color="auto"/>
        <w:bottom w:val="none" w:sz="0" w:space="0" w:color="auto"/>
        <w:right w:val="none" w:sz="0" w:space="0" w:color="auto"/>
      </w:divBdr>
    </w:div>
    <w:div w:id="109321976">
      <w:bodyDiv w:val="1"/>
      <w:marLeft w:val="0"/>
      <w:marRight w:val="0"/>
      <w:marTop w:val="0"/>
      <w:marBottom w:val="0"/>
      <w:divBdr>
        <w:top w:val="none" w:sz="0" w:space="0" w:color="auto"/>
        <w:left w:val="none" w:sz="0" w:space="0" w:color="auto"/>
        <w:bottom w:val="none" w:sz="0" w:space="0" w:color="auto"/>
        <w:right w:val="none" w:sz="0" w:space="0" w:color="auto"/>
      </w:divBdr>
    </w:div>
    <w:div w:id="118962909">
      <w:bodyDiv w:val="1"/>
      <w:marLeft w:val="0"/>
      <w:marRight w:val="0"/>
      <w:marTop w:val="0"/>
      <w:marBottom w:val="0"/>
      <w:divBdr>
        <w:top w:val="none" w:sz="0" w:space="0" w:color="auto"/>
        <w:left w:val="none" w:sz="0" w:space="0" w:color="auto"/>
        <w:bottom w:val="none" w:sz="0" w:space="0" w:color="auto"/>
        <w:right w:val="none" w:sz="0" w:space="0" w:color="auto"/>
      </w:divBdr>
    </w:div>
    <w:div w:id="123736678">
      <w:bodyDiv w:val="1"/>
      <w:marLeft w:val="0"/>
      <w:marRight w:val="0"/>
      <w:marTop w:val="0"/>
      <w:marBottom w:val="0"/>
      <w:divBdr>
        <w:top w:val="none" w:sz="0" w:space="0" w:color="auto"/>
        <w:left w:val="none" w:sz="0" w:space="0" w:color="auto"/>
        <w:bottom w:val="none" w:sz="0" w:space="0" w:color="auto"/>
        <w:right w:val="none" w:sz="0" w:space="0" w:color="auto"/>
      </w:divBdr>
    </w:div>
    <w:div w:id="136456422">
      <w:bodyDiv w:val="1"/>
      <w:marLeft w:val="0"/>
      <w:marRight w:val="0"/>
      <w:marTop w:val="0"/>
      <w:marBottom w:val="0"/>
      <w:divBdr>
        <w:top w:val="none" w:sz="0" w:space="0" w:color="auto"/>
        <w:left w:val="none" w:sz="0" w:space="0" w:color="auto"/>
        <w:bottom w:val="none" w:sz="0" w:space="0" w:color="auto"/>
        <w:right w:val="none" w:sz="0" w:space="0" w:color="auto"/>
      </w:divBdr>
    </w:div>
    <w:div w:id="142551383">
      <w:bodyDiv w:val="1"/>
      <w:marLeft w:val="0"/>
      <w:marRight w:val="0"/>
      <w:marTop w:val="0"/>
      <w:marBottom w:val="0"/>
      <w:divBdr>
        <w:top w:val="none" w:sz="0" w:space="0" w:color="auto"/>
        <w:left w:val="none" w:sz="0" w:space="0" w:color="auto"/>
        <w:bottom w:val="none" w:sz="0" w:space="0" w:color="auto"/>
        <w:right w:val="none" w:sz="0" w:space="0" w:color="auto"/>
      </w:divBdr>
    </w:div>
    <w:div w:id="165902996">
      <w:bodyDiv w:val="1"/>
      <w:marLeft w:val="0"/>
      <w:marRight w:val="0"/>
      <w:marTop w:val="0"/>
      <w:marBottom w:val="0"/>
      <w:divBdr>
        <w:top w:val="none" w:sz="0" w:space="0" w:color="auto"/>
        <w:left w:val="none" w:sz="0" w:space="0" w:color="auto"/>
        <w:bottom w:val="none" w:sz="0" w:space="0" w:color="auto"/>
        <w:right w:val="none" w:sz="0" w:space="0" w:color="auto"/>
      </w:divBdr>
    </w:div>
    <w:div w:id="177278027">
      <w:bodyDiv w:val="1"/>
      <w:marLeft w:val="0"/>
      <w:marRight w:val="0"/>
      <w:marTop w:val="0"/>
      <w:marBottom w:val="0"/>
      <w:divBdr>
        <w:top w:val="none" w:sz="0" w:space="0" w:color="auto"/>
        <w:left w:val="none" w:sz="0" w:space="0" w:color="auto"/>
        <w:bottom w:val="none" w:sz="0" w:space="0" w:color="auto"/>
        <w:right w:val="none" w:sz="0" w:space="0" w:color="auto"/>
      </w:divBdr>
    </w:div>
    <w:div w:id="179709234">
      <w:bodyDiv w:val="1"/>
      <w:marLeft w:val="0"/>
      <w:marRight w:val="0"/>
      <w:marTop w:val="0"/>
      <w:marBottom w:val="0"/>
      <w:divBdr>
        <w:top w:val="none" w:sz="0" w:space="0" w:color="auto"/>
        <w:left w:val="none" w:sz="0" w:space="0" w:color="auto"/>
        <w:bottom w:val="none" w:sz="0" w:space="0" w:color="auto"/>
        <w:right w:val="none" w:sz="0" w:space="0" w:color="auto"/>
      </w:divBdr>
    </w:div>
    <w:div w:id="186481942">
      <w:bodyDiv w:val="1"/>
      <w:marLeft w:val="0"/>
      <w:marRight w:val="0"/>
      <w:marTop w:val="0"/>
      <w:marBottom w:val="0"/>
      <w:divBdr>
        <w:top w:val="none" w:sz="0" w:space="0" w:color="auto"/>
        <w:left w:val="none" w:sz="0" w:space="0" w:color="auto"/>
        <w:bottom w:val="none" w:sz="0" w:space="0" w:color="auto"/>
        <w:right w:val="none" w:sz="0" w:space="0" w:color="auto"/>
      </w:divBdr>
    </w:div>
    <w:div w:id="189689132">
      <w:bodyDiv w:val="1"/>
      <w:marLeft w:val="0"/>
      <w:marRight w:val="0"/>
      <w:marTop w:val="0"/>
      <w:marBottom w:val="0"/>
      <w:divBdr>
        <w:top w:val="none" w:sz="0" w:space="0" w:color="auto"/>
        <w:left w:val="none" w:sz="0" w:space="0" w:color="auto"/>
        <w:bottom w:val="none" w:sz="0" w:space="0" w:color="auto"/>
        <w:right w:val="none" w:sz="0" w:space="0" w:color="auto"/>
      </w:divBdr>
    </w:div>
    <w:div w:id="195705901">
      <w:bodyDiv w:val="1"/>
      <w:marLeft w:val="0"/>
      <w:marRight w:val="0"/>
      <w:marTop w:val="0"/>
      <w:marBottom w:val="0"/>
      <w:divBdr>
        <w:top w:val="none" w:sz="0" w:space="0" w:color="auto"/>
        <w:left w:val="none" w:sz="0" w:space="0" w:color="auto"/>
        <w:bottom w:val="none" w:sz="0" w:space="0" w:color="auto"/>
        <w:right w:val="none" w:sz="0" w:space="0" w:color="auto"/>
      </w:divBdr>
    </w:div>
    <w:div w:id="198200687">
      <w:bodyDiv w:val="1"/>
      <w:marLeft w:val="0"/>
      <w:marRight w:val="0"/>
      <w:marTop w:val="0"/>
      <w:marBottom w:val="0"/>
      <w:divBdr>
        <w:top w:val="none" w:sz="0" w:space="0" w:color="auto"/>
        <w:left w:val="none" w:sz="0" w:space="0" w:color="auto"/>
        <w:bottom w:val="none" w:sz="0" w:space="0" w:color="auto"/>
        <w:right w:val="none" w:sz="0" w:space="0" w:color="auto"/>
      </w:divBdr>
    </w:div>
    <w:div w:id="198789244">
      <w:bodyDiv w:val="1"/>
      <w:marLeft w:val="0"/>
      <w:marRight w:val="0"/>
      <w:marTop w:val="0"/>
      <w:marBottom w:val="0"/>
      <w:divBdr>
        <w:top w:val="none" w:sz="0" w:space="0" w:color="auto"/>
        <w:left w:val="none" w:sz="0" w:space="0" w:color="auto"/>
        <w:bottom w:val="none" w:sz="0" w:space="0" w:color="auto"/>
        <w:right w:val="none" w:sz="0" w:space="0" w:color="auto"/>
      </w:divBdr>
    </w:div>
    <w:div w:id="205336143">
      <w:bodyDiv w:val="1"/>
      <w:marLeft w:val="0"/>
      <w:marRight w:val="0"/>
      <w:marTop w:val="0"/>
      <w:marBottom w:val="0"/>
      <w:divBdr>
        <w:top w:val="none" w:sz="0" w:space="0" w:color="auto"/>
        <w:left w:val="none" w:sz="0" w:space="0" w:color="auto"/>
        <w:bottom w:val="none" w:sz="0" w:space="0" w:color="auto"/>
        <w:right w:val="none" w:sz="0" w:space="0" w:color="auto"/>
      </w:divBdr>
    </w:div>
    <w:div w:id="210313272">
      <w:bodyDiv w:val="1"/>
      <w:marLeft w:val="0"/>
      <w:marRight w:val="0"/>
      <w:marTop w:val="0"/>
      <w:marBottom w:val="0"/>
      <w:divBdr>
        <w:top w:val="none" w:sz="0" w:space="0" w:color="auto"/>
        <w:left w:val="none" w:sz="0" w:space="0" w:color="auto"/>
        <w:bottom w:val="none" w:sz="0" w:space="0" w:color="auto"/>
        <w:right w:val="none" w:sz="0" w:space="0" w:color="auto"/>
      </w:divBdr>
    </w:div>
    <w:div w:id="217134619">
      <w:bodyDiv w:val="1"/>
      <w:marLeft w:val="0"/>
      <w:marRight w:val="0"/>
      <w:marTop w:val="0"/>
      <w:marBottom w:val="0"/>
      <w:divBdr>
        <w:top w:val="none" w:sz="0" w:space="0" w:color="auto"/>
        <w:left w:val="none" w:sz="0" w:space="0" w:color="auto"/>
        <w:bottom w:val="none" w:sz="0" w:space="0" w:color="auto"/>
        <w:right w:val="none" w:sz="0" w:space="0" w:color="auto"/>
      </w:divBdr>
    </w:div>
    <w:div w:id="218370915">
      <w:bodyDiv w:val="1"/>
      <w:marLeft w:val="0"/>
      <w:marRight w:val="0"/>
      <w:marTop w:val="0"/>
      <w:marBottom w:val="0"/>
      <w:divBdr>
        <w:top w:val="none" w:sz="0" w:space="0" w:color="auto"/>
        <w:left w:val="none" w:sz="0" w:space="0" w:color="auto"/>
        <w:bottom w:val="none" w:sz="0" w:space="0" w:color="auto"/>
        <w:right w:val="none" w:sz="0" w:space="0" w:color="auto"/>
      </w:divBdr>
    </w:div>
    <w:div w:id="239102529">
      <w:bodyDiv w:val="1"/>
      <w:marLeft w:val="0"/>
      <w:marRight w:val="0"/>
      <w:marTop w:val="0"/>
      <w:marBottom w:val="0"/>
      <w:divBdr>
        <w:top w:val="none" w:sz="0" w:space="0" w:color="auto"/>
        <w:left w:val="none" w:sz="0" w:space="0" w:color="auto"/>
        <w:bottom w:val="none" w:sz="0" w:space="0" w:color="auto"/>
        <w:right w:val="none" w:sz="0" w:space="0" w:color="auto"/>
      </w:divBdr>
    </w:div>
    <w:div w:id="240992160">
      <w:bodyDiv w:val="1"/>
      <w:marLeft w:val="0"/>
      <w:marRight w:val="0"/>
      <w:marTop w:val="0"/>
      <w:marBottom w:val="0"/>
      <w:divBdr>
        <w:top w:val="none" w:sz="0" w:space="0" w:color="auto"/>
        <w:left w:val="none" w:sz="0" w:space="0" w:color="auto"/>
        <w:bottom w:val="none" w:sz="0" w:space="0" w:color="auto"/>
        <w:right w:val="none" w:sz="0" w:space="0" w:color="auto"/>
      </w:divBdr>
    </w:div>
    <w:div w:id="244071712">
      <w:bodyDiv w:val="1"/>
      <w:marLeft w:val="0"/>
      <w:marRight w:val="0"/>
      <w:marTop w:val="0"/>
      <w:marBottom w:val="0"/>
      <w:divBdr>
        <w:top w:val="none" w:sz="0" w:space="0" w:color="auto"/>
        <w:left w:val="none" w:sz="0" w:space="0" w:color="auto"/>
        <w:bottom w:val="none" w:sz="0" w:space="0" w:color="auto"/>
        <w:right w:val="none" w:sz="0" w:space="0" w:color="auto"/>
      </w:divBdr>
    </w:div>
    <w:div w:id="273220623">
      <w:bodyDiv w:val="1"/>
      <w:marLeft w:val="0"/>
      <w:marRight w:val="0"/>
      <w:marTop w:val="0"/>
      <w:marBottom w:val="0"/>
      <w:divBdr>
        <w:top w:val="none" w:sz="0" w:space="0" w:color="auto"/>
        <w:left w:val="none" w:sz="0" w:space="0" w:color="auto"/>
        <w:bottom w:val="none" w:sz="0" w:space="0" w:color="auto"/>
        <w:right w:val="none" w:sz="0" w:space="0" w:color="auto"/>
      </w:divBdr>
    </w:div>
    <w:div w:id="286547142">
      <w:bodyDiv w:val="1"/>
      <w:marLeft w:val="0"/>
      <w:marRight w:val="0"/>
      <w:marTop w:val="0"/>
      <w:marBottom w:val="0"/>
      <w:divBdr>
        <w:top w:val="none" w:sz="0" w:space="0" w:color="auto"/>
        <w:left w:val="none" w:sz="0" w:space="0" w:color="auto"/>
        <w:bottom w:val="none" w:sz="0" w:space="0" w:color="auto"/>
        <w:right w:val="none" w:sz="0" w:space="0" w:color="auto"/>
      </w:divBdr>
    </w:div>
    <w:div w:id="294875467">
      <w:bodyDiv w:val="1"/>
      <w:marLeft w:val="0"/>
      <w:marRight w:val="0"/>
      <w:marTop w:val="0"/>
      <w:marBottom w:val="0"/>
      <w:divBdr>
        <w:top w:val="none" w:sz="0" w:space="0" w:color="auto"/>
        <w:left w:val="none" w:sz="0" w:space="0" w:color="auto"/>
        <w:bottom w:val="none" w:sz="0" w:space="0" w:color="auto"/>
        <w:right w:val="none" w:sz="0" w:space="0" w:color="auto"/>
      </w:divBdr>
    </w:div>
    <w:div w:id="299965974">
      <w:bodyDiv w:val="1"/>
      <w:marLeft w:val="0"/>
      <w:marRight w:val="0"/>
      <w:marTop w:val="0"/>
      <w:marBottom w:val="0"/>
      <w:divBdr>
        <w:top w:val="none" w:sz="0" w:space="0" w:color="auto"/>
        <w:left w:val="none" w:sz="0" w:space="0" w:color="auto"/>
        <w:bottom w:val="none" w:sz="0" w:space="0" w:color="auto"/>
        <w:right w:val="none" w:sz="0" w:space="0" w:color="auto"/>
      </w:divBdr>
    </w:div>
    <w:div w:id="307319564">
      <w:bodyDiv w:val="1"/>
      <w:marLeft w:val="0"/>
      <w:marRight w:val="0"/>
      <w:marTop w:val="0"/>
      <w:marBottom w:val="0"/>
      <w:divBdr>
        <w:top w:val="none" w:sz="0" w:space="0" w:color="auto"/>
        <w:left w:val="none" w:sz="0" w:space="0" w:color="auto"/>
        <w:bottom w:val="none" w:sz="0" w:space="0" w:color="auto"/>
        <w:right w:val="none" w:sz="0" w:space="0" w:color="auto"/>
      </w:divBdr>
    </w:div>
    <w:div w:id="317996842">
      <w:bodyDiv w:val="1"/>
      <w:marLeft w:val="0"/>
      <w:marRight w:val="0"/>
      <w:marTop w:val="0"/>
      <w:marBottom w:val="0"/>
      <w:divBdr>
        <w:top w:val="none" w:sz="0" w:space="0" w:color="auto"/>
        <w:left w:val="none" w:sz="0" w:space="0" w:color="auto"/>
        <w:bottom w:val="none" w:sz="0" w:space="0" w:color="auto"/>
        <w:right w:val="none" w:sz="0" w:space="0" w:color="auto"/>
      </w:divBdr>
    </w:div>
    <w:div w:id="322241367">
      <w:bodyDiv w:val="1"/>
      <w:marLeft w:val="0"/>
      <w:marRight w:val="0"/>
      <w:marTop w:val="0"/>
      <w:marBottom w:val="0"/>
      <w:divBdr>
        <w:top w:val="none" w:sz="0" w:space="0" w:color="auto"/>
        <w:left w:val="none" w:sz="0" w:space="0" w:color="auto"/>
        <w:bottom w:val="none" w:sz="0" w:space="0" w:color="auto"/>
        <w:right w:val="none" w:sz="0" w:space="0" w:color="auto"/>
      </w:divBdr>
    </w:div>
    <w:div w:id="362247257">
      <w:bodyDiv w:val="1"/>
      <w:marLeft w:val="0"/>
      <w:marRight w:val="0"/>
      <w:marTop w:val="0"/>
      <w:marBottom w:val="0"/>
      <w:divBdr>
        <w:top w:val="none" w:sz="0" w:space="0" w:color="auto"/>
        <w:left w:val="none" w:sz="0" w:space="0" w:color="auto"/>
        <w:bottom w:val="none" w:sz="0" w:space="0" w:color="auto"/>
        <w:right w:val="none" w:sz="0" w:space="0" w:color="auto"/>
      </w:divBdr>
    </w:div>
    <w:div w:id="370308248">
      <w:bodyDiv w:val="1"/>
      <w:marLeft w:val="0"/>
      <w:marRight w:val="0"/>
      <w:marTop w:val="0"/>
      <w:marBottom w:val="0"/>
      <w:divBdr>
        <w:top w:val="none" w:sz="0" w:space="0" w:color="auto"/>
        <w:left w:val="none" w:sz="0" w:space="0" w:color="auto"/>
        <w:bottom w:val="none" w:sz="0" w:space="0" w:color="auto"/>
        <w:right w:val="none" w:sz="0" w:space="0" w:color="auto"/>
      </w:divBdr>
    </w:div>
    <w:div w:id="383992506">
      <w:bodyDiv w:val="1"/>
      <w:marLeft w:val="0"/>
      <w:marRight w:val="0"/>
      <w:marTop w:val="0"/>
      <w:marBottom w:val="0"/>
      <w:divBdr>
        <w:top w:val="none" w:sz="0" w:space="0" w:color="auto"/>
        <w:left w:val="none" w:sz="0" w:space="0" w:color="auto"/>
        <w:bottom w:val="none" w:sz="0" w:space="0" w:color="auto"/>
        <w:right w:val="none" w:sz="0" w:space="0" w:color="auto"/>
      </w:divBdr>
    </w:div>
    <w:div w:id="384717754">
      <w:bodyDiv w:val="1"/>
      <w:marLeft w:val="0"/>
      <w:marRight w:val="0"/>
      <w:marTop w:val="0"/>
      <w:marBottom w:val="0"/>
      <w:divBdr>
        <w:top w:val="none" w:sz="0" w:space="0" w:color="auto"/>
        <w:left w:val="none" w:sz="0" w:space="0" w:color="auto"/>
        <w:bottom w:val="none" w:sz="0" w:space="0" w:color="auto"/>
        <w:right w:val="none" w:sz="0" w:space="0" w:color="auto"/>
      </w:divBdr>
    </w:div>
    <w:div w:id="401217053">
      <w:bodyDiv w:val="1"/>
      <w:marLeft w:val="0"/>
      <w:marRight w:val="0"/>
      <w:marTop w:val="0"/>
      <w:marBottom w:val="0"/>
      <w:divBdr>
        <w:top w:val="none" w:sz="0" w:space="0" w:color="auto"/>
        <w:left w:val="none" w:sz="0" w:space="0" w:color="auto"/>
        <w:bottom w:val="none" w:sz="0" w:space="0" w:color="auto"/>
        <w:right w:val="none" w:sz="0" w:space="0" w:color="auto"/>
      </w:divBdr>
    </w:div>
    <w:div w:id="406150107">
      <w:bodyDiv w:val="1"/>
      <w:marLeft w:val="0"/>
      <w:marRight w:val="0"/>
      <w:marTop w:val="0"/>
      <w:marBottom w:val="0"/>
      <w:divBdr>
        <w:top w:val="none" w:sz="0" w:space="0" w:color="auto"/>
        <w:left w:val="none" w:sz="0" w:space="0" w:color="auto"/>
        <w:bottom w:val="none" w:sz="0" w:space="0" w:color="auto"/>
        <w:right w:val="none" w:sz="0" w:space="0" w:color="auto"/>
      </w:divBdr>
    </w:div>
    <w:div w:id="453444799">
      <w:bodyDiv w:val="1"/>
      <w:marLeft w:val="0"/>
      <w:marRight w:val="0"/>
      <w:marTop w:val="0"/>
      <w:marBottom w:val="0"/>
      <w:divBdr>
        <w:top w:val="none" w:sz="0" w:space="0" w:color="auto"/>
        <w:left w:val="none" w:sz="0" w:space="0" w:color="auto"/>
        <w:bottom w:val="none" w:sz="0" w:space="0" w:color="auto"/>
        <w:right w:val="none" w:sz="0" w:space="0" w:color="auto"/>
      </w:divBdr>
    </w:div>
    <w:div w:id="465781337">
      <w:bodyDiv w:val="1"/>
      <w:marLeft w:val="0"/>
      <w:marRight w:val="0"/>
      <w:marTop w:val="0"/>
      <w:marBottom w:val="0"/>
      <w:divBdr>
        <w:top w:val="none" w:sz="0" w:space="0" w:color="auto"/>
        <w:left w:val="none" w:sz="0" w:space="0" w:color="auto"/>
        <w:bottom w:val="none" w:sz="0" w:space="0" w:color="auto"/>
        <w:right w:val="none" w:sz="0" w:space="0" w:color="auto"/>
      </w:divBdr>
    </w:div>
    <w:div w:id="473645047">
      <w:bodyDiv w:val="1"/>
      <w:marLeft w:val="0"/>
      <w:marRight w:val="0"/>
      <w:marTop w:val="0"/>
      <w:marBottom w:val="0"/>
      <w:divBdr>
        <w:top w:val="none" w:sz="0" w:space="0" w:color="auto"/>
        <w:left w:val="none" w:sz="0" w:space="0" w:color="auto"/>
        <w:bottom w:val="none" w:sz="0" w:space="0" w:color="auto"/>
        <w:right w:val="none" w:sz="0" w:space="0" w:color="auto"/>
      </w:divBdr>
    </w:div>
    <w:div w:id="478107704">
      <w:bodyDiv w:val="1"/>
      <w:marLeft w:val="0"/>
      <w:marRight w:val="0"/>
      <w:marTop w:val="0"/>
      <w:marBottom w:val="0"/>
      <w:divBdr>
        <w:top w:val="none" w:sz="0" w:space="0" w:color="auto"/>
        <w:left w:val="none" w:sz="0" w:space="0" w:color="auto"/>
        <w:bottom w:val="none" w:sz="0" w:space="0" w:color="auto"/>
        <w:right w:val="none" w:sz="0" w:space="0" w:color="auto"/>
      </w:divBdr>
    </w:div>
    <w:div w:id="526993021">
      <w:bodyDiv w:val="1"/>
      <w:marLeft w:val="0"/>
      <w:marRight w:val="0"/>
      <w:marTop w:val="0"/>
      <w:marBottom w:val="0"/>
      <w:divBdr>
        <w:top w:val="none" w:sz="0" w:space="0" w:color="auto"/>
        <w:left w:val="none" w:sz="0" w:space="0" w:color="auto"/>
        <w:bottom w:val="none" w:sz="0" w:space="0" w:color="auto"/>
        <w:right w:val="none" w:sz="0" w:space="0" w:color="auto"/>
      </w:divBdr>
    </w:div>
    <w:div w:id="538974246">
      <w:bodyDiv w:val="1"/>
      <w:marLeft w:val="0"/>
      <w:marRight w:val="0"/>
      <w:marTop w:val="0"/>
      <w:marBottom w:val="0"/>
      <w:divBdr>
        <w:top w:val="none" w:sz="0" w:space="0" w:color="auto"/>
        <w:left w:val="none" w:sz="0" w:space="0" w:color="auto"/>
        <w:bottom w:val="none" w:sz="0" w:space="0" w:color="auto"/>
        <w:right w:val="none" w:sz="0" w:space="0" w:color="auto"/>
      </w:divBdr>
    </w:div>
    <w:div w:id="546335111">
      <w:bodyDiv w:val="1"/>
      <w:marLeft w:val="0"/>
      <w:marRight w:val="0"/>
      <w:marTop w:val="0"/>
      <w:marBottom w:val="0"/>
      <w:divBdr>
        <w:top w:val="none" w:sz="0" w:space="0" w:color="auto"/>
        <w:left w:val="none" w:sz="0" w:space="0" w:color="auto"/>
        <w:bottom w:val="none" w:sz="0" w:space="0" w:color="auto"/>
        <w:right w:val="none" w:sz="0" w:space="0" w:color="auto"/>
      </w:divBdr>
    </w:div>
    <w:div w:id="554196619">
      <w:bodyDiv w:val="1"/>
      <w:marLeft w:val="0"/>
      <w:marRight w:val="0"/>
      <w:marTop w:val="0"/>
      <w:marBottom w:val="0"/>
      <w:divBdr>
        <w:top w:val="none" w:sz="0" w:space="0" w:color="auto"/>
        <w:left w:val="none" w:sz="0" w:space="0" w:color="auto"/>
        <w:bottom w:val="none" w:sz="0" w:space="0" w:color="auto"/>
        <w:right w:val="none" w:sz="0" w:space="0" w:color="auto"/>
      </w:divBdr>
    </w:div>
    <w:div w:id="555359504">
      <w:bodyDiv w:val="1"/>
      <w:marLeft w:val="0"/>
      <w:marRight w:val="0"/>
      <w:marTop w:val="0"/>
      <w:marBottom w:val="0"/>
      <w:divBdr>
        <w:top w:val="none" w:sz="0" w:space="0" w:color="auto"/>
        <w:left w:val="none" w:sz="0" w:space="0" w:color="auto"/>
        <w:bottom w:val="none" w:sz="0" w:space="0" w:color="auto"/>
        <w:right w:val="none" w:sz="0" w:space="0" w:color="auto"/>
      </w:divBdr>
    </w:div>
    <w:div w:id="561864965">
      <w:bodyDiv w:val="1"/>
      <w:marLeft w:val="0"/>
      <w:marRight w:val="0"/>
      <w:marTop w:val="0"/>
      <w:marBottom w:val="0"/>
      <w:divBdr>
        <w:top w:val="none" w:sz="0" w:space="0" w:color="auto"/>
        <w:left w:val="none" w:sz="0" w:space="0" w:color="auto"/>
        <w:bottom w:val="none" w:sz="0" w:space="0" w:color="auto"/>
        <w:right w:val="none" w:sz="0" w:space="0" w:color="auto"/>
      </w:divBdr>
    </w:div>
    <w:div w:id="564610807">
      <w:bodyDiv w:val="1"/>
      <w:marLeft w:val="0"/>
      <w:marRight w:val="0"/>
      <w:marTop w:val="0"/>
      <w:marBottom w:val="0"/>
      <w:divBdr>
        <w:top w:val="none" w:sz="0" w:space="0" w:color="auto"/>
        <w:left w:val="none" w:sz="0" w:space="0" w:color="auto"/>
        <w:bottom w:val="none" w:sz="0" w:space="0" w:color="auto"/>
        <w:right w:val="none" w:sz="0" w:space="0" w:color="auto"/>
      </w:divBdr>
    </w:div>
    <w:div w:id="582644148">
      <w:bodyDiv w:val="1"/>
      <w:marLeft w:val="0"/>
      <w:marRight w:val="0"/>
      <w:marTop w:val="0"/>
      <w:marBottom w:val="0"/>
      <w:divBdr>
        <w:top w:val="none" w:sz="0" w:space="0" w:color="auto"/>
        <w:left w:val="none" w:sz="0" w:space="0" w:color="auto"/>
        <w:bottom w:val="none" w:sz="0" w:space="0" w:color="auto"/>
        <w:right w:val="none" w:sz="0" w:space="0" w:color="auto"/>
      </w:divBdr>
    </w:div>
    <w:div w:id="583958263">
      <w:bodyDiv w:val="1"/>
      <w:marLeft w:val="0"/>
      <w:marRight w:val="0"/>
      <w:marTop w:val="0"/>
      <w:marBottom w:val="0"/>
      <w:divBdr>
        <w:top w:val="none" w:sz="0" w:space="0" w:color="auto"/>
        <w:left w:val="none" w:sz="0" w:space="0" w:color="auto"/>
        <w:bottom w:val="none" w:sz="0" w:space="0" w:color="auto"/>
        <w:right w:val="none" w:sz="0" w:space="0" w:color="auto"/>
      </w:divBdr>
    </w:div>
    <w:div w:id="584151776">
      <w:bodyDiv w:val="1"/>
      <w:marLeft w:val="0"/>
      <w:marRight w:val="0"/>
      <w:marTop w:val="0"/>
      <w:marBottom w:val="0"/>
      <w:divBdr>
        <w:top w:val="none" w:sz="0" w:space="0" w:color="auto"/>
        <w:left w:val="none" w:sz="0" w:space="0" w:color="auto"/>
        <w:bottom w:val="none" w:sz="0" w:space="0" w:color="auto"/>
        <w:right w:val="none" w:sz="0" w:space="0" w:color="auto"/>
      </w:divBdr>
    </w:div>
    <w:div w:id="586501821">
      <w:bodyDiv w:val="1"/>
      <w:marLeft w:val="0"/>
      <w:marRight w:val="0"/>
      <w:marTop w:val="0"/>
      <w:marBottom w:val="0"/>
      <w:divBdr>
        <w:top w:val="none" w:sz="0" w:space="0" w:color="auto"/>
        <w:left w:val="none" w:sz="0" w:space="0" w:color="auto"/>
        <w:bottom w:val="none" w:sz="0" w:space="0" w:color="auto"/>
        <w:right w:val="none" w:sz="0" w:space="0" w:color="auto"/>
      </w:divBdr>
    </w:div>
    <w:div w:id="593439448">
      <w:bodyDiv w:val="1"/>
      <w:marLeft w:val="0"/>
      <w:marRight w:val="0"/>
      <w:marTop w:val="0"/>
      <w:marBottom w:val="0"/>
      <w:divBdr>
        <w:top w:val="none" w:sz="0" w:space="0" w:color="auto"/>
        <w:left w:val="none" w:sz="0" w:space="0" w:color="auto"/>
        <w:bottom w:val="none" w:sz="0" w:space="0" w:color="auto"/>
        <w:right w:val="none" w:sz="0" w:space="0" w:color="auto"/>
      </w:divBdr>
    </w:div>
    <w:div w:id="602879954">
      <w:bodyDiv w:val="1"/>
      <w:marLeft w:val="0"/>
      <w:marRight w:val="0"/>
      <w:marTop w:val="0"/>
      <w:marBottom w:val="0"/>
      <w:divBdr>
        <w:top w:val="none" w:sz="0" w:space="0" w:color="auto"/>
        <w:left w:val="none" w:sz="0" w:space="0" w:color="auto"/>
        <w:bottom w:val="none" w:sz="0" w:space="0" w:color="auto"/>
        <w:right w:val="none" w:sz="0" w:space="0" w:color="auto"/>
      </w:divBdr>
    </w:div>
    <w:div w:id="637340161">
      <w:bodyDiv w:val="1"/>
      <w:marLeft w:val="0"/>
      <w:marRight w:val="0"/>
      <w:marTop w:val="0"/>
      <w:marBottom w:val="0"/>
      <w:divBdr>
        <w:top w:val="none" w:sz="0" w:space="0" w:color="auto"/>
        <w:left w:val="none" w:sz="0" w:space="0" w:color="auto"/>
        <w:bottom w:val="none" w:sz="0" w:space="0" w:color="auto"/>
        <w:right w:val="none" w:sz="0" w:space="0" w:color="auto"/>
      </w:divBdr>
    </w:div>
    <w:div w:id="647902572">
      <w:bodyDiv w:val="1"/>
      <w:marLeft w:val="0"/>
      <w:marRight w:val="0"/>
      <w:marTop w:val="0"/>
      <w:marBottom w:val="0"/>
      <w:divBdr>
        <w:top w:val="none" w:sz="0" w:space="0" w:color="auto"/>
        <w:left w:val="none" w:sz="0" w:space="0" w:color="auto"/>
        <w:bottom w:val="none" w:sz="0" w:space="0" w:color="auto"/>
        <w:right w:val="none" w:sz="0" w:space="0" w:color="auto"/>
      </w:divBdr>
    </w:div>
    <w:div w:id="666053299">
      <w:bodyDiv w:val="1"/>
      <w:marLeft w:val="0"/>
      <w:marRight w:val="0"/>
      <w:marTop w:val="0"/>
      <w:marBottom w:val="0"/>
      <w:divBdr>
        <w:top w:val="none" w:sz="0" w:space="0" w:color="auto"/>
        <w:left w:val="none" w:sz="0" w:space="0" w:color="auto"/>
        <w:bottom w:val="none" w:sz="0" w:space="0" w:color="auto"/>
        <w:right w:val="none" w:sz="0" w:space="0" w:color="auto"/>
      </w:divBdr>
    </w:div>
    <w:div w:id="712653579">
      <w:bodyDiv w:val="1"/>
      <w:marLeft w:val="0"/>
      <w:marRight w:val="0"/>
      <w:marTop w:val="0"/>
      <w:marBottom w:val="0"/>
      <w:divBdr>
        <w:top w:val="none" w:sz="0" w:space="0" w:color="auto"/>
        <w:left w:val="none" w:sz="0" w:space="0" w:color="auto"/>
        <w:bottom w:val="none" w:sz="0" w:space="0" w:color="auto"/>
        <w:right w:val="none" w:sz="0" w:space="0" w:color="auto"/>
      </w:divBdr>
    </w:div>
    <w:div w:id="817460817">
      <w:bodyDiv w:val="1"/>
      <w:marLeft w:val="0"/>
      <w:marRight w:val="0"/>
      <w:marTop w:val="0"/>
      <w:marBottom w:val="0"/>
      <w:divBdr>
        <w:top w:val="none" w:sz="0" w:space="0" w:color="auto"/>
        <w:left w:val="none" w:sz="0" w:space="0" w:color="auto"/>
        <w:bottom w:val="none" w:sz="0" w:space="0" w:color="auto"/>
        <w:right w:val="none" w:sz="0" w:space="0" w:color="auto"/>
      </w:divBdr>
    </w:div>
    <w:div w:id="834805558">
      <w:bodyDiv w:val="1"/>
      <w:marLeft w:val="0"/>
      <w:marRight w:val="0"/>
      <w:marTop w:val="0"/>
      <w:marBottom w:val="0"/>
      <w:divBdr>
        <w:top w:val="none" w:sz="0" w:space="0" w:color="auto"/>
        <w:left w:val="none" w:sz="0" w:space="0" w:color="auto"/>
        <w:bottom w:val="none" w:sz="0" w:space="0" w:color="auto"/>
        <w:right w:val="none" w:sz="0" w:space="0" w:color="auto"/>
      </w:divBdr>
    </w:div>
    <w:div w:id="843933474">
      <w:bodyDiv w:val="1"/>
      <w:marLeft w:val="0"/>
      <w:marRight w:val="0"/>
      <w:marTop w:val="0"/>
      <w:marBottom w:val="0"/>
      <w:divBdr>
        <w:top w:val="none" w:sz="0" w:space="0" w:color="auto"/>
        <w:left w:val="none" w:sz="0" w:space="0" w:color="auto"/>
        <w:bottom w:val="none" w:sz="0" w:space="0" w:color="auto"/>
        <w:right w:val="none" w:sz="0" w:space="0" w:color="auto"/>
      </w:divBdr>
    </w:div>
    <w:div w:id="844052656">
      <w:bodyDiv w:val="1"/>
      <w:marLeft w:val="0"/>
      <w:marRight w:val="0"/>
      <w:marTop w:val="0"/>
      <w:marBottom w:val="0"/>
      <w:divBdr>
        <w:top w:val="none" w:sz="0" w:space="0" w:color="auto"/>
        <w:left w:val="none" w:sz="0" w:space="0" w:color="auto"/>
        <w:bottom w:val="none" w:sz="0" w:space="0" w:color="auto"/>
        <w:right w:val="none" w:sz="0" w:space="0" w:color="auto"/>
      </w:divBdr>
    </w:div>
    <w:div w:id="845172665">
      <w:bodyDiv w:val="1"/>
      <w:marLeft w:val="0"/>
      <w:marRight w:val="0"/>
      <w:marTop w:val="0"/>
      <w:marBottom w:val="0"/>
      <w:divBdr>
        <w:top w:val="none" w:sz="0" w:space="0" w:color="auto"/>
        <w:left w:val="none" w:sz="0" w:space="0" w:color="auto"/>
        <w:bottom w:val="none" w:sz="0" w:space="0" w:color="auto"/>
        <w:right w:val="none" w:sz="0" w:space="0" w:color="auto"/>
      </w:divBdr>
    </w:div>
    <w:div w:id="845873529">
      <w:bodyDiv w:val="1"/>
      <w:marLeft w:val="0"/>
      <w:marRight w:val="0"/>
      <w:marTop w:val="0"/>
      <w:marBottom w:val="0"/>
      <w:divBdr>
        <w:top w:val="none" w:sz="0" w:space="0" w:color="auto"/>
        <w:left w:val="none" w:sz="0" w:space="0" w:color="auto"/>
        <w:bottom w:val="none" w:sz="0" w:space="0" w:color="auto"/>
        <w:right w:val="none" w:sz="0" w:space="0" w:color="auto"/>
      </w:divBdr>
    </w:div>
    <w:div w:id="849954177">
      <w:bodyDiv w:val="1"/>
      <w:marLeft w:val="0"/>
      <w:marRight w:val="0"/>
      <w:marTop w:val="0"/>
      <w:marBottom w:val="0"/>
      <w:divBdr>
        <w:top w:val="none" w:sz="0" w:space="0" w:color="auto"/>
        <w:left w:val="none" w:sz="0" w:space="0" w:color="auto"/>
        <w:bottom w:val="none" w:sz="0" w:space="0" w:color="auto"/>
        <w:right w:val="none" w:sz="0" w:space="0" w:color="auto"/>
      </w:divBdr>
    </w:div>
    <w:div w:id="868302547">
      <w:bodyDiv w:val="1"/>
      <w:marLeft w:val="0"/>
      <w:marRight w:val="0"/>
      <w:marTop w:val="0"/>
      <w:marBottom w:val="0"/>
      <w:divBdr>
        <w:top w:val="none" w:sz="0" w:space="0" w:color="auto"/>
        <w:left w:val="none" w:sz="0" w:space="0" w:color="auto"/>
        <w:bottom w:val="none" w:sz="0" w:space="0" w:color="auto"/>
        <w:right w:val="none" w:sz="0" w:space="0" w:color="auto"/>
      </w:divBdr>
    </w:div>
    <w:div w:id="885216125">
      <w:bodyDiv w:val="1"/>
      <w:marLeft w:val="0"/>
      <w:marRight w:val="0"/>
      <w:marTop w:val="0"/>
      <w:marBottom w:val="0"/>
      <w:divBdr>
        <w:top w:val="none" w:sz="0" w:space="0" w:color="auto"/>
        <w:left w:val="none" w:sz="0" w:space="0" w:color="auto"/>
        <w:bottom w:val="none" w:sz="0" w:space="0" w:color="auto"/>
        <w:right w:val="none" w:sz="0" w:space="0" w:color="auto"/>
      </w:divBdr>
    </w:div>
    <w:div w:id="889148062">
      <w:bodyDiv w:val="1"/>
      <w:marLeft w:val="0"/>
      <w:marRight w:val="0"/>
      <w:marTop w:val="0"/>
      <w:marBottom w:val="0"/>
      <w:divBdr>
        <w:top w:val="none" w:sz="0" w:space="0" w:color="auto"/>
        <w:left w:val="none" w:sz="0" w:space="0" w:color="auto"/>
        <w:bottom w:val="none" w:sz="0" w:space="0" w:color="auto"/>
        <w:right w:val="none" w:sz="0" w:space="0" w:color="auto"/>
      </w:divBdr>
    </w:div>
    <w:div w:id="892539842">
      <w:bodyDiv w:val="1"/>
      <w:marLeft w:val="0"/>
      <w:marRight w:val="0"/>
      <w:marTop w:val="0"/>
      <w:marBottom w:val="0"/>
      <w:divBdr>
        <w:top w:val="none" w:sz="0" w:space="0" w:color="auto"/>
        <w:left w:val="none" w:sz="0" w:space="0" w:color="auto"/>
        <w:bottom w:val="none" w:sz="0" w:space="0" w:color="auto"/>
        <w:right w:val="none" w:sz="0" w:space="0" w:color="auto"/>
      </w:divBdr>
    </w:div>
    <w:div w:id="905578211">
      <w:bodyDiv w:val="1"/>
      <w:marLeft w:val="0"/>
      <w:marRight w:val="0"/>
      <w:marTop w:val="0"/>
      <w:marBottom w:val="0"/>
      <w:divBdr>
        <w:top w:val="none" w:sz="0" w:space="0" w:color="auto"/>
        <w:left w:val="none" w:sz="0" w:space="0" w:color="auto"/>
        <w:bottom w:val="none" w:sz="0" w:space="0" w:color="auto"/>
        <w:right w:val="none" w:sz="0" w:space="0" w:color="auto"/>
      </w:divBdr>
    </w:div>
    <w:div w:id="909540098">
      <w:bodyDiv w:val="1"/>
      <w:marLeft w:val="0"/>
      <w:marRight w:val="0"/>
      <w:marTop w:val="0"/>
      <w:marBottom w:val="0"/>
      <w:divBdr>
        <w:top w:val="none" w:sz="0" w:space="0" w:color="auto"/>
        <w:left w:val="none" w:sz="0" w:space="0" w:color="auto"/>
        <w:bottom w:val="none" w:sz="0" w:space="0" w:color="auto"/>
        <w:right w:val="none" w:sz="0" w:space="0" w:color="auto"/>
      </w:divBdr>
    </w:div>
    <w:div w:id="917863336">
      <w:bodyDiv w:val="1"/>
      <w:marLeft w:val="0"/>
      <w:marRight w:val="0"/>
      <w:marTop w:val="0"/>
      <w:marBottom w:val="0"/>
      <w:divBdr>
        <w:top w:val="none" w:sz="0" w:space="0" w:color="auto"/>
        <w:left w:val="none" w:sz="0" w:space="0" w:color="auto"/>
        <w:bottom w:val="none" w:sz="0" w:space="0" w:color="auto"/>
        <w:right w:val="none" w:sz="0" w:space="0" w:color="auto"/>
      </w:divBdr>
    </w:div>
    <w:div w:id="935942610">
      <w:bodyDiv w:val="1"/>
      <w:marLeft w:val="0"/>
      <w:marRight w:val="0"/>
      <w:marTop w:val="0"/>
      <w:marBottom w:val="0"/>
      <w:divBdr>
        <w:top w:val="none" w:sz="0" w:space="0" w:color="auto"/>
        <w:left w:val="none" w:sz="0" w:space="0" w:color="auto"/>
        <w:bottom w:val="none" w:sz="0" w:space="0" w:color="auto"/>
        <w:right w:val="none" w:sz="0" w:space="0" w:color="auto"/>
      </w:divBdr>
    </w:div>
    <w:div w:id="937835897">
      <w:bodyDiv w:val="1"/>
      <w:marLeft w:val="0"/>
      <w:marRight w:val="0"/>
      <w:marTop w:val="0"/>
      <w:marBottom w:val="0"/>
      <w:divBdr>
        <w:top w:val="none" w:sz="0" w:space="0" w:color="auto"/>
        <w:left w:val="none" w:sz="0" w:space="0" w:color="auto"/>
        <w:bottom w:val="none" w:sz="0" w:space="0" w:color="auto"/>
        <w:right w:val="none" w:sz="0" w:space="0" w:color="auto"/>
      </w:divBdr>
    </w:div>
    <w:div w:id="939262154">
      <w:bodyDiv w:val="1"/>
      <w:marLeft w:val="0"/>
      <w:marRight w:val="0"/>
      <w:marTop w:val="0"/>
      <w:marBottom w:val="0"/>
      <w:divBdr>
        <w:top w:val="none" w:sz="0" w:space="0" w:color="auto"/>
        <w:left w:val="none" w:sz="0" w:space="0" w:color="auto"/>
        <w:bottom w:val="none" w:sz="0" w:space="0" w:color="auto"/>
        <w:right w:val="none" w:sz="0" w:space="0" w:color="auto"/>
      </w:divBdr>
    </w:div>
    <w:div w:id="957641320">
      <w:bodyDiv w:val="1"/>
      <w:marLeft w:val="0"/>
      <w:marRight w:val="0"/>
      <w:marTop w:val="0"/>
      <w:marBottom w:val="0"/>
      <w:divBdr>
        <w:top w:val="none" w:sz="0" w:space="0" w:color="auto"/>
        <w:left w:val="none" w:sz="0" w:space="0" w:color="auto"/>
        <w:bottom w:val="none" w:sz="0" w:space="0" w:color="auto"/>
        <w:right w:val="none" w:sz="0" w:space="0" w:color="auto"/>
      </w:divBdr>
    </w:div>
    <w:div w:id="959148875">
      <w:bodyDiv w:val="1"/>
      <w:marLeft w:val="0"/>
      <w:marRight w:val="0"/>
      <w:marTop w:val="0"/>
      <w:marBottom w:val="0"/>
      <w:divBdr>
        <w:top w:val="none" w:sz="0" w:space="0" w:color="auto"/>
        <w:left w:val="none" w:sz="0" w:space="0" w:color="auto"/>
        <w:bottom w:val="none" w:sz="0" w:space="0" w:color="auto"/>
        <w:right w:val="none" w:sz="0" w:space="0" w:color="auto"/>
      </w:divBdr>
    </w:div>
    <w:div w:id="988898379">
      <w:bodyDiv w:val="1"/>
      <w:marLeft w:val="0"/>
      <w:marRight w:val="0"/>
      <w:marTop w:val="0"/>
      <w:marBottom w:val="0"/>
      <w:divBdr>
        <w:top w:val="none" w:sz="0" w:space="0" w:color="auto"/>
        <w:left w:val="none" w:sz="0" w:space="0" w:color="auto"/>
        <w:bottom w:val="none" w:sz="0" w:space="0" w:color="auto"/>
        <w:right w:val="none" w:sz="0" w:space="0" w:color="auto"/>
      </w:divBdr>
    </w:div>
    <w:div w:id="1000237101">
      <w:bodyDiv w:val="1"/>
      <w:marLeft w:val="0"/>
      <w:marRight w:val="0"/>
      <w:marTop w:val="0"/>
      <w:marBottom w:val="0"/>
      <w:divBdr>
        <w:top w:val="none" w:sz="0" w:space="0" w:color="auto"/>
        <w:left w:val="none" w:sz="0" w:space="0" w:color="auto"/>
        <w:bottom w:val="none" w:sz="0" w:space="0" w:color="auto"/>
        <w:right w:val="none" w:sz="0" w:space="0" w:color="auto"/>
      </w:divBdr>
    </w:div>
    <w:div w:id="1013996902">
      <w:bodyDiv w:val="1"/>
      <w:marLeft w:val="0"/>
      <w:marRight w:val="0"/>
      <w:marTop w:val="0"/>
      <w:marBottom w:val="0"/>
      <w:divBdr>
        <w:top w:val="none" w:sz="0" w:space="0" w:color="auto"/>
        <w:left w:val="none" w:sz="0" w:space="0" w:color="auto"/>
        <w:bottom w:val="none" w:sz="0" w:space="0" w:color="auto"/>
        <w:right w:val="none" w:sz="0" w:space="0" w:color="auto"/>
      </w:divBdr>
    </w:div>
    <w:div w:id="1014460626">
      <w:bodyDiv w:val="1"/>
      <w:marLeft w:val="0"/>
      <w:marRight w:val="0"/>
      <w:marTop w:val="0"/>
      <w:marBottom w:val="0"/>
      <w:divBdr>
        <w:top w:val="none" w:sz="0" w:space="0" w:color="auto"/>
        <w:left w:val="none" w:sz="0" w:space="0" w:color="auto"/>
        <w:bottom w:val="none" w:sz="0" w:space="0" w:color="auto"/>
        <w:right w:val="none" w:sz="0" w:space="0" w:color="auto"/>
      </w:divBdr>
    </w:div>
    <w:div w:id="1014920046">
      <w:bodyDiv w:val="1"/>
      <w:marLeft w:val="0"/>
      <w:marRight w:val="0"/>
      <w:marTop w:val="0"/>
      <w:marBottom w:val="0"/>
      <w:divBdr>
        <w:top w:val="none" w:sz="0" w:space="0" w:color="auto"/>
        <w:left w:val="none" w:sz="0" w:space="0" w:color="auto"/>
        <w:bottom w:val="none" w:sz="0" w:space="0" w:color="auto"/>
        <w:right w:val="none" w:sz="0" w:space="0" w:color="auto"/>
      </w:divBdr>
    </w:div>
    <w:div w:id="1025449114">
      <w:bodyDiv w:val="1"/>
      <w:marLeft w:val="0"/>
      <w:marRight w:val="0"/>
      <w:marTop w:val="0"/>
      <w:marBottom w:val="0"/>
      <w:divBdr>
        <w:top w:val="none" w:sz="0" w:space="0" w:color="auto"/>
        <w:left w:val="none" w:sz="0" w:space="0" w:color="auto"/>
        <w:bottom w:val="none" w:sz="0" w:space="0" w:color="auto"/>
        <w:right w:val="none" w:sz="0" w:space="0" w:color="auto"/>
      </w:divBdr>
    </w:div>
    <w:div w:id="1035156837">
      <w:bodyDiv w:val="1"/>
      <w:marLeft w:val="0"/>
      <w:marRight w:val="0"/>
      <w:marTop w:val="0"/>
      <w:marBottom w:val="0"/>
      <w:divBdr>
        <w:top w:val="none" w:sz="0" w:space="0" w:color="auto"/>
        <w:left w:val="none" w:sz="0" w:space="0" w:color="auto"/>
        <w:bottom w:val="none" w:sz="0" w:space="0" w:color="auto"/>
        <w:right w:val="none" w:sz="0" w:space="0" w:color="auto"/>
      </w:divBdr>
    </w:div>
    <w:div w:id="1049690759">
      <w:bodyDiv w:val="1"/>
      <w:marLeft w:val="0"/>
      <w:marRight w:val="0"/>
      <w:marTop w:val="0"/>
      <w:marBottom w:val="0"/>
      <w:divBdr>
        <w:top w:val="none" w:sz="0" w:space="0" w:color="auto"/>
        <w:left w:val="none" w:sz="0" w:space="0" w:color="auto"/>
        <w:bottom w:val="none" w:sz="0" w:space="0" w:color="auto"/>
        <w:right w:val="none" w:sz="0" w:space="0" w:color="auto"/>
      </w:divBdr>
    </w:div>
    <w:div w:id="1057894050">
      <w:bodyDiv w:val="1"/>
      <w:marLeft w:val="0"/>
      <w:marRight w:val="0"/>
      <w:marTop w:val="0"/>
      <w:marBottom w:val="0"/>
      <w:divBdr>
        <w:top w:val="none" w:sz="0" w:space="0" w:color="auto"/>
        <w:left w:val="none" w:sz="0" w:space="0" w:color="auto"/>
        <w:bottom w:val="none" w:sz="0" w:space="0" w:color="auto"/>
        <w:right w:val="none" w:sz="0" w:space="0" w:color="auto"/>
      </w:divBdr>
    </w:div>
    <w:div w:id="1062944154">
      <w:bodyDiv w:val="1"/>
      <w:marLeft w:val="0"/>
      <w:marRight w:val="0"/>
      <w:marTop w:val="0"/>
      <w:marBottom w:val="0"/>
      <w:divBdr>
        <w:top w:val="none" w:sz="0" w:space="0" w:color="auto"/>
        <w:left w:val="none" w:sz="0" w:space="0" w:color="auto"/>
        <w:bottom w:val="none" w:sz="0" w:space="0" w:color="auto"/>
        <w:right w:val="none" w:sz="0" w:space="0" w:color="auto"/>
      </w:divBdr>
    </w:div>
    <w:div w:id="1091510831">
      <w:bodyDiv w:val="1"/>
      <w:marLeft w:val="0"/>
      <w:marRight w:val="0"/>
      <w:marTop w:val="0"/>
      <w:marBottom w:val="0"/>
      <w:divBdr>
        <w:top w:val="none" w:sz="0" w:space="0" w:color="auto"/>
        <w:left w:val="none" w:sz="0" w:space="0" w:color="auto"/>
        <w:bottom w:val="none" w:sz="0" w:space="0" w:color="auto"/>
        <w:right w:val="none" w:sz="0" w:space="0" w:color="auto"/>
      </w:divBdr>
    </w:div>
    <w:div w:id="1094397045">
      <w:bodyDiv w:val="1"/>
      <w:marLeft w:val="0"/>
      <w:marRight w:val="0"/>
      <w:marTop w:val="0"/>
      <w:marBottom w:val="0"/>
      <w:divBdr>
        <w:top w:val="none" w:sz="0" w:space="0" w:color="auto"/>
        <w:left w:val="none" w:sz="0" w:space="0" w:color="auto"/>
        <w:bottom w:val="none" w:sz="0" w:space="0" w:color="auto"/>
        <w:right w:val="none" w:sz="0" w:space="0" w:color="auto"/>
      </w:divBdr>
    </w:div>
    <w:div w:id="1116368904">
      <w:bodyDiv w:val="1"/>
      <w:marLeft w:val="0"/>
      <w:marRight w:val="0"/>
      <w:marTop w:val="0"/>
      <w:marBottom w:val="0"/>
      <w:divBdr>
        <w:top w:val="none" w:sz="0" w:space="0" w:color="auto"/>
        <w:left w:val="none" w:sz="0" w:space="0" w:color="auto"/>
        <w:bottom w:val="none" w:sz="0" w:space="0" w:color="auto"/>
        <w:right w:val="none" w:sz="0" w:space="0" w:color="auto"/>
      </w:divBdr>
    </w:div>
    <w:div w:id="1117335329">
      <w:bodyDiv w:val="1"/>
      <w:marLeft w:val="0"/>
      <w:marRight w:val="0"/>
      <w:marTop w:val="0"/>
      <w:marBottom w:val="0"/>
      <w:divBdr>
        <w:top w:val="none" w:sz="0" w:space="0" w:color="auto"/>
        <w:left w:val="none" w:sz="0" w:space="0" w:color="auto"/>
        <w:bottom w:val="none" w:sz="0" w:space="0" w:color="auto"/>
        <w:right w:val="none" w:sz="0" w:space="0" w:color="auto"/>
      </w:divBdr>
    </w:div>
    <w:div w:id="1145897730">
      <w:bodyDiv w:val="1"/>
      <w:marLeft w:val="0"/>
      <w:marRight w:val="0"/>
      <w:marTop w:val="0"/>
      <w:marBottom w:val="0"/>
      <w:divBdr>
        <w:top w:val="none" w:sz="0" w:space="0" w:color="auto"/>
        <w:left w:val="none" w:sz="0" w:space="0" w:color="auto"/>
        <w:bottom w:val="none" w:sz="0" w:space="0" w:color="auto"/>
        <w:right w:val="none" w:sz="0" w:space="0" w:color="auto"/>
      </w:divBdr>
    </w:div>
    <w:div w:id="1147866628">
      <w:bodyDiv w:val="1"/>
      <w:marLeft w:val="0"/>
      <w:marRight w:val="0"/>
      <w:marTop w:val="0"/>
      <w:marBottom w:val="0"/>
      <w:divBdr>
        <w:top w:val="none" w:sz="0" w:space="0" w:color="auto"/>
        <w:left w:val="none" w:sz="0" w:space="0" w:color="auto"/>
        <w:bottom w:val="none" w:sz="0" w:space="0" w:color="auto"/>
        <w:right w:val="none" w:sz="0" w:space="0" w:color="auto"/>
      </w:divBdr>
    </w:div>
    <w:div w:id="1150974552">
      <w:bodyDiv w:val="1"/>
      <w:marLeft w:val="0"/>
      <w:marRight w:val="0"/>
      <w:marTop w:val="0"/>
      <w:marBottom w:val="0"/>
      <w:divBdr>
        <w:top w:val="none" w:sz="0" w:space="0" w:color="auto"/>
        <w:left w:val="none" w:sz="0" w:space="0" w:color="auto"/>
        <w:bottom w:val="none" w:sz="0" w:space="0" w:color="auto"/>
        <w:right w:val="none" w:sz="0" w:space="0" w:color="auto"/>
      </w:divBdr>
    </w:div>
    <w:div w:id="1159879029">
      <w:bodyDiv w:val="1"/>
      <w:marLeft w:val="0"/>
      <w:marRight w:val="0"/>
      <w:marTop w:val="0"/>
      <w:marBottom w:val="0"/>
      <w:divBdr>
        <w:top w:val="none" w:sz="0" w:space="0" w:color="auto"/>
        <w:left w:val="none" w:sz="0" w:space="0" w:color="auto"/>
        <w:bottom w:val="none" w:sz="0" w:space="0" w:color="auto"/>
        <w:right w:val="none" w:sz="0" w:space="0" w:color="auto"/>
      </w:divBdr>
    </w:div>
    <w:div w:id="1171947258">
      <w:bodyDiv w:val="1"/>
      <w:marLeft w:val="0"/>
      <w:marRight w:val="0"/>
      <w:marTop w:val="0"/>
      <w:marBottom w:val="0"/>
      <w:divBdr>
        <w:top w:val="none" w:sz="0" w:space="0" w:color="auto"/>
        <w:left w:val="none" w:sz="0" w:space="0" w:color="auto"/>
        <w:bottom w:val="none" w:sz="0" w:space="0" w:color="auto"/>
        <w:right w:val="none" w:sz="0" w:space="0" w:color="auto"/>
      </w:divBdr>
    </w:div>
    <w:div w:id="1174343935">
      <w:bodyDiv w:val="1"/>
      <w:marLeft w:val="0"/>
      <w:marRight w:val="0"/>
      <w:marTop w:val="0"/>
      <w:marBottom w:val="0"/>
      <w:divBdr>
        <w:top w:val="none" w:sz="0" w:space="0" w:color="auto"/>
        <w:left w:val="none" w:sz="0" w:space="0" w:color="auto"/>
        <w:bottom w:val="none" w:sz="0" w:space="0" w:color="auto"/>
        <w:right w:val="none" w:sz="0" w:space="0" w:color="auto"/>
      </w:divBdr>
    </w:div>
    <w:div w:id="1180463197">
      <w:bodyDiv w:val="1"/>
      <w:marLeft w:val="0"/>
      <w:marRight w:val="0"/>
      <w:marTop w:val="0"/>
      <w:marBottom w:val="0"/>
      <w:divBdr>
        <w:top w:val="none" w:sz="0" w:space="0" w:color="auto"/>
        <w:left w:val="none" w:sz="0" w:space="0" w:color="auto"/>
        <w:bottom w:val="none" w:sz="0" w:space="0" w:color="auto"/>
        <w:right w:val="none" w:sz="0" w:space="0" w:color="auto"/>
      </w:divBdr>
    </w:div>
    <w:div w:id="1191451416">
      <w:bodyDiv w:val="1"/>
      <w:marLeft w:val="0"/>
      <w:marRight w:val="0"/>
      <w:marTop w:val="0"/>
      <w:marBottom w:val="0"/>
      <w:divBdr>
        <w:top w:val="none" w:sz="0" w:space="0" w:color="auto"/>
        <w:left w:val="none" w:sz="0" w:space="0" w:color="auto"/>
        <w:bottom w:val="none" w:sz="0" w:space="0" w:color="auto"/>
        <w:right w:val="none" w:sz="0" w:space="0" w:color="auto"/>
      </w:divBdr>
    </w:div>
    <w:div w:id="1198742861">
      <w:bodyDiv w:val="1"/>
      <w:marLeft w:val="0"/>
      <w:marRight w:val="0"/>
      <w:marTop w:val="0"/>
      <w:marBottom w:val="0"/>
      <w:divBdr>
        <w:top w:val="none" w:sz="0" w:space="0" w:color="auto"/>
        <w:left w:val="none" w:sz="0" w:space="0" w:color="auto"/>
        <w:bottom w:val="none" w:sz="0" w:space="0" w:color="auto"/>
        <w:right w:val="none" w:sz="0" w:space="0" w:color="auto"/>
      </w:divBdr>
    </w:div>
    <w:div w:id="1204321072">
      <w:bodyDiv w:val="1"/>
      <w:marLeft w:val="0"/>
      <w:marRight w:val="0"/>
      <w:marTop w:val="0"/>
      <w:marBottom w:val="0"/>
      <w:divBdr>
        <w:top w:val="none" w:sz="0" w:space="0" w:color="auto"/>
        <w:left w:val="none" w:sz="0" w:space="0" w:color="auto"/>
        <w:bottom w:val="none" w:sz="0" w:space="0" w:color="auto"/>
        <w:right w:val="none" w:sz="0" w:space="0" w:color="auto"/>
      </w:divBdr>
    </w:div>
    <w:div w:id="1205828487">
      <w:bodyDiv w:val="1"/>
      <w:marLeft w:val="0"/>
      <w:marRight w:val="0"/>
      <w:marTop w:val="0"/>
      <w:marBottom w:val="0"/>
      <w:divBdr>
        <w:top w:val="none" w:sz="0" w:space="0" w:color="auto"/>
        <w:left w:val="none" w:sz="0" w:space="0" w:color="auto"/>
        <w:bottom w:val="none" w:sz="0" w:space="0" w:color="auto"/>
        <w:right w:val="none" w:sz="0" w:space="0" w:color="auto"/>
      </w:divBdr>
    </w:div>
    <w:div w:id="1210454741">
      <w:bodyDiv w:val="1"/>
      <w:marLeft w:val="0"/>
      <w:marRight w:val="0"/>
      <w:marTop w:val="0"/>
      <w:marBottom w:val="0"/>
      <w:divBdr>
        <w:top w:val="none" w:sz="0" w:space="0" w:color="auto"/>
        <w:left w:val="none" w:sz="0" w:space="0" w:color="auto"/>
        <w:bottom w:val="none" w:sz="0" w:space="0" w:color="auto"/>
        <w:right w:val="none" w:sz="0" w:space="0" w:color="auto"/>
      </w:divBdr>
    </w:div>
    <w:div w:id="1233277793">
      <w:bodyDiv w:val="1"/>
      <w:marLeft w:val="0"/>
      <w:marRight w:val="0"/>
      <w:marTop w:val="0"/>
      <w:marBottom w:val="0"/>
      <w:divBdr>
        <w:top w:val="none" w:sz="0" w:space="0" w:color="auto"/>
        <w:left w:val="none" w:sz="0" w:space="0" w:color="auto"/>
        <w:bottom w:val="none" w:sz="0" w:space="0" w:color="auto"/>
        <w:right w:val="none" w:sz="0" w:space="0" w:color="auto"/>
      </w:divBdr>
    </w:div>
    <w:div w:id="1248920746">
      <w:bodyDiv w:val="1"/>
      <w:marLeft w:val="0"/>
      <w:marRight w:val="0"/>
      <w:marTop w:val="0"/>
      <w:marBottom w:val="0"/>
      <w:divBdr>
        <w:top w:val="none" w:sz="0" w:space="0" w:color="auto"/>
        <w:left w:val="none" w:sz="0" w:space="0" w:color="auto"/>
        <w:bottom w:val="none" w:sz="0" w:space="0" w:color="auto"/>
        <w:right w:val="none" w:sz="0" w:space="0" w:color="auto"/>
      </w:divBdr>
    </w:div>
    <w:div w:id="1258052957">
      <w:bodyDiv w:val="1"/>
      <w:marLeft w:val="0"/>
      <w:marRight w:val="0"/>
      <w:marTop w:val="0"/>
      <w:marBottom w:val="0"/>
      <w:divBdr>
        <w:top w:val="none" w:sz="0" w:space="0" w:color="auto"/>
        <w:left w:val="none" w:sz="0" w:space="0" w:color="auto"/>
        <w:bottom w:val="none" w:sz="0" w:space="0" w:color="auto"/>
        <w:right w:val="none" w:sz="0" w:space="0" w:color="auto"/>
      </w:divBdr>
    </w:div>
    <w:div w:id="1259752703">
      <w:bodyDiv w:val="1"/>
      <w:marLeft w:val="0"/>
      <w:marRight w:val="0"/>
      <w:marTop w:val="0"/>
      <w:marBottom w:val="0"/>
      <w:divBdr>
        <w:top w:val="none" w:sz="0" w:space="0" w:color="auto"/>
        <w:left w:val="none" w:sz="0" w:space="0" w:color="auto"/>
        <w:bottom w:val="none" w:sz="0" w:space="0" w:color="auto"/>
        <w:right w:val="none" w:sz="0" w:space="0" w:color="auto"/>
      </w:divBdr>
    </w:div>
    <w:div w:id="1291936820">
      <w:bodyDiv w:val="1"/>
      <w:marLeft w:val="0"/>
      <w:marRight w:val="0"/>
      <w:marTop w:val="0"/>
      <w:marBottom w:val="0"/>
      <w:divBdr>
        <w:top w:val="none" w:sz="0" w:space="0" w:color="auto"/>
        <w:left w:val="none" w:sz="0" w:space="0" w:color="auto"/>
        <w:bottom w:val="none" w:sz="0" w:space="0" w:color="auto"/>
        <w:right w:val="none" w:sz="0" w:space="0" w:color="auto"/>
      </w:divBdr>
    </w:div>
    <w:div w:id="1305814350">
      <w:bodyDiv w:val="1"/>
      <w:marLeft w:val="0"/>
      <w:marRight w:val="0"/>
      <w:marTop w:val="0"/>
      <w:marBottom w:val="0"/>
      <w:divBdr>
        <w:top w:val="none" w:sz="0" w:space="0" w:color="auto"/>
        <w:left w:val="none" w:sz="0" w:space="0" w:color="auto"/>
        <w:bottom w:val="none" w:sz="0" w:space="0" w:color="auto"/>
        <w:right w:val="none" w:sz="0" w:space="0" w:color="auto"/>
      </w:divBdr>
    </w:div>
    <w:div w:id="1316765194">
      <w:bodyDiv w:val="1"/>
      <w:marLeft w:val="0"/>
      <w:marRight w:val="0"/>
      <w:marTop w:val="0"/>
      <w:marBottom w:val="0"/>
      <w:divBdr>
        <w:top w:val="none" w:sz="0" w:space="0" w:color="auto"/>
        <w:left w:val="none" w:sz="0" w:space="0" w:color="auto"/>
        <w:bottom w:val="none" w:sz="0" w:space="0" w:color="auto"/>
        <w:right w:val="none" w:sz="0" w:space="0" w:color="auto"/>
      </w:divBdr>
    </w:div>
    <w:div w:id="1316836451">
      <w:bodyDiv w:val="1"/>
      <w:marLeft w:val="0"/>
      <w:marRight w:val="0"/>
      <w:marTop w:val="0"/>
      <w:marBottom w:val="0"/>
      <w:divBdr>
        <w:top w:val="none" w:sz="0" w:space="0" w:color="auto"/>
        <w:left w:val="none" w:sz="0" w:space="0" w:color="auto"/>
        <w:bottom w:val="none" w:sz="0" w:space="0" w:color="auto"/>
        <w:right w:val="none" w:sz="0" w:space="0" w:color="auto"/>
      </w:divBdr>
    </w:div>
    <w:div w:id="1322387722">
      <w:bodyDiv w:val="1"/>
      <w:marLeft w:val="0"/>
      <w:marRight w:val="0"/>
      <w:marTop w:val="0"/>
      <w:marBottom w:val="0"/>
      <w:divBdr>
        <w:top w:val="none" w:sz="0" w:space="0" w:color="auto"/>
        <w:left w:val="none" w:sz="0" w:space="0" w:color="auto"/>
        <w:bottom w:val="none" w:sz="0" w:space="0" w:color="auto"/>
        <w:right w:val="none" w:sz="0" w:space="0" w:color="auto"/>
      </w:divBdr>
    </w:div>
    <w:div w:id="1341010803">
      <w:bodyDiv w:val="1"/>
      <w:marLeft w:val="0"/>
      <w:marRight w:val="0"/>
      <w:marTop w:val="0"/>
      <w:marBottom w:val="0"/>
      <w:divBdr>
        <w:top w:val="none" w:sz="0" w:space="0" w:color="auto"/>
        <w:left w:val="none" w:sz="0" w:space="0" w:color="auto"/>
        <w:bottom w:val="none" w:sz="0" w:space="0" w:color="auto"/>
        <w:right w:val="none" w:sz="0" w:space="0" w:color="auto"/>
      </w:divBdr>
    </w:div>
    <w:div w:id="1350984739">
      <w:bodyDiv w:val="1"/>
      <w:marLeft w:val="0"/>
      <w:marRight w:val="0"/>
      <w:marTop w:val="0"/>
      <w:marBottom w:val="0"/>
      <w:divBdr>
        <w:top w:val="none" w:sz="0" w:space="0" w:color="auto"/>
        <w:left w:val="none" w:sz="0" w:space="0" w:color="auto"/>
        <w:bottom w:val="none" w:sz="0" w:space="0" w:color="auto"/>
        <w:right w:val="none" w:sz="0" w:space="0" w:color="auto"/>
      </w:divBdr>
    </w:div>
    <w:div w:id="1357463092">
      <w:bodyDiv w:val="1"/>
      <w:marLeft w:val="0"/>
      <w:marRight w:val="0"/>
      <w:marTop w:val="0"/>
      <w:marBottom w:val="0"/>
      <w:divBdr>
        <w:top w:val="none" w:sz="0" w:space="0" w:color="auto"/>
        <w:left w:val="none" w:sz="0" w:space="0" w:color="auto"/>
        <w:bottom w:val="none" w:sz="0" w:space="0" w:color="auto"/>
        <w:right w:val="none" w:sz="0" w:space="0" w:color="auto"/>
      </w:divBdr>
    </w:div>
    <w:div w:id="1370226946">
      <w:bodyDiv w:val="1"/>
      <w:marLeft w:val="0"/>
      <w:marRight w:val="0"/>
      <w:marTop w:val="0"/>
      <w:marBottom w:val="0"/>
      <w:divBdr>
        <w:top w:val="none" w:sz="0" w:space="0" w:color="auto"/>
        <w:left w:val="none" w:sz="0" w:space="0" w:color="auto"/>
        <w:bottom w:val="none" w:sz="0" w:space="0" w:color="auto"/>
        <w:right w:val="none" w:sz="0" w:space="0" w:color="auto"/>
      </w:divBdr>
    </w:div>
    <w:div w:id="1381591229">
      <w:bodyDiv w:val="1"/>
      <w:marLeft w:val="0"/>
      <w:marRight w:val="0"/>
      <w:marTop w:val="0"/>
      <w:marBottom w:val="0"/>
      <w:divBdr>
        <w:top w:val="none" w:sz="0" w:space="0" w:color="auto"/>
        <w:left w:val="none" w:sz="0" w:space="0" w:color="auto"/>
        <w:bottom w:val="none" w:sz="0" w:space="0" w:color="auto"/>
        <w:right w:val="none" w:sz="0" w:space="0" w:color="auto"/>
      </w:divBdr>
    </w:div>
    <w:div w:id="1397971770">
      <w:bodyDiv w:val="1"/>
      <w:marLeft w:val="0"/>
      <w:marRight w:val="0"/>
      <w:marTop w:val="0"/>
      <w:marBottom w:val="0"/>
      <w:divBdr>
        <w:top w:val="none" w:sz="0" w:space="0" w:color="auto"/>
        <w:left w:val="none" w:sz="0" w:space="0" w:color="auto"/>
        <w:bottom w:val="none" w:sz="0" w:space="0" w:color="auto"/>
        <w:right w:val="none" w:sz="0" w:space="0" w:color="auto"/>
      </w:divBdr>
    </w:div>
    <w:div w:id="1404717216">
      <w:bodyDiv w:val="1"/>
      <w:marLeft w:val="0"/>
      <w:marRight w:val="0"/>
      <w:marTop w:val="0"/>
      <w:marBottom w:val="0"/>
      <w:divBdr>
        <w:top w:val="none" w:sz="0" w:space="0" w:color="auto"/>
        <w:left w:val="none" w:sz="0" w:space="0" w:color="auto"/>
        <w:bottom w:val="none" w:sz="0" w:space="0" w:color="auto"/>
        <w:right w:val="none" w:sz="0" w:space="0" w:color="auto"/>
      </w:divBdr>
    </w:div>
    <w:div w:id="1415736957">
      <w:bodyDiv w:val="1"/>
      <w:marLeft w:val="0"/>
      <w:marRight w:val="0"/>
      <w:marTop w:val="0"/>
      <w:marBottom w:val="0"/>
      <w:divBdr>
        <w:top w:val="none" w:sz="0" w:space="0" w:color="auto"/>
        <w:left w:val="none" w:sz="0" w:space="0" w:color="auto"/>
        <w:bottom w:val="none" w:sz="0" w:space="0" w:color="auto"/>
        <w:right w:val="none" w:sz="0" w:space="0" w:color="auto"/>
      </w:divBdr>
    </w:div>
    <w:div w:id="1429275629">
      <w:bodyDiv w:val="1"/>
      <w:marLeft w:val="0"/>
      <w:marRight w:val="0"/>
      <w:marTop w:val="0"/>
      <w:marBottom w:val="0"/>
      <w:divBdr>
        <w:top w:val="none" w:sz="0" w:space="0" w:color="auto"/>
        <w:left w:val="none" w:sz="0" w:space="0" w:color="auto"/>
        <w:bottom w:val="none" w:sz="0" w:space="0" w:color="auto"/>
        <w:right w:val="none" w:sz="0" w:space="0" w:color="auto"/>
      </w:divBdr>
    </w:div>
    <w:div w:id="1436361198">
      <w:bodyDiv w:val="1"/>
      <w:marLeft w:val="0"/>
      <w:marRight w:val="0"/>
      <w:marTop w:val="0"/>
      <w:marBottom w:val="0"/>
      <w:divBdr>
        <w:top w:val="none" w:sz="0" w:space="0" w:color="auto"/>
        <w:left w:val="none" w:sz="0" w:space="0" w:color="auto"/>
        <w:bottom w:val="none" w:sz="0" w:space="0" w:color="auto"/>
        <w:right w:val="none" w:sz="0" w:space="0" w:color="auto"/>
      </w:divBdr>
    </w:div>
    <w:div w:id="1438987066">
      <w:bodyDiv w:val="1"/>
      <w:marLeft w:val="0"/>
      <w:marRight w:val="0"/>
      <w:marTop w:val="0"/>
      <w:marBottom w:val="0"/>
      <w:divBdr>
        <w:top w:val="none" w:sz="0" w:space="0" w:color="auto"/>
        <w:left w:val="none" w:sz="0" w:space="0" w:color="auto"/>
        <w:bottom w:val="none" w:sz="0" w:space="0" w:color="auto"/>
        <w:right w:val="none" w:sz="0" w:space="0" w:color="auto"/>
      </w:divBdr>
    </w:div>
    <w:div w:id="1450778098">
      <w:bodyDiv w:val="1"/>
      <w:marLeft w:val="0"/>
      <w:marRight w:val="0"/>
      <w:marTop w:val="0"/>
      <w:marBottom w:val="0"/>
      <w:divBdr>
        <w:top w:val="none" w:sz="0" w:space="0" w:color="auto"/>
        <w:left w:val="none" w:sz="0" w:space="0" w:color="auto"/>
        <w:bottom w:val="none" w:sz="0" w:space="0" w:color="auto"/>
        <w:right w:val="none" w:sz="0" w:space="0" w:color="auto"/>
      </w:divBdr>
    </w:div>
    <w:div w:id="1458724184">
      <w:bodyDiv w:val="1"/>
      <w:marLeft w:val="0"/>
      <w:marRight w:val="0"/>
      <w:marTop w:val="0"/>
      <w:marBottom w:val="0"/>
      <w:divBdr>
        <w:top w:val="none" w:sz="0" w:space="0" w:color="auto"/>
        <w:left w:val="none" w:sz="0" w:space="0" w:color="auto"/>
        <w:bottom w:val="none" w:sz="0" w:space="0" w:color="auto"/>
        <w:right w:val="none" w:sz="0" w:space="0" w:color="auto"/>
      </w:divBdr>
    </w:div>
    <w:div w:id="1466580495">
      <w:bodyDiv w:val="1"/>
      <w:marLeft w:val="0"/>
      <w:marRight w:val="0"/>
      <w:marTop w:val="0"/>
      <w:marBottom w:val="0"/>
      <w:divBdr>
        <w:top w:val="none" w:sz="0" w:space="0" w:color="auto"/>
        <w:left w:val="none" w:sz="0" w:space="0" w:color="auto"/>
        <w:bottom w:val="none" w:sz="0" w:space="0" w:color="auto"/>
        <w:right w:val="none" w:sz="0" w:space="0" w:color="auto"/>
      </w:divBdr>
    </w:div>
    <w:div w:id="1477260906">
      <w:bodyDiv w:val="1"/>
      <w:marLeft w:val="0"/>
      <w:marRight w:val="0"/>
      <w:marTop w:val="0"/>
      <w:marBottom w:val="0"/>
      <w:divBdr>
        <w:top w:val="none" w:sz="0" w:space="0" w:color="auto"/>
        <w:left w:val="none" w:sz="0" w:space="0" w:color="auto"/>
        <w:bottom w:val="none" w:sz="0" w:space="0" w:color="auto"/>
        <w:right w:val="none" w:sz="0" w:space="0" w:color="auto"/>
      </w:divBdr>
    </w:div>
    <w:div w:id="1484083736">
      <w:bodyDiv w:val="1"/>
      <w:marLeft w:val="0"/>
      <w:marRight w:val="0"/>
      <w:marTop w:val="0"/>
      <w:marBottom w:val="0"/>
      <w:divBdr>
        <w:top w:val="none" w:sz="0" w:space="0" w:color="auto"/>
        <w:left w:val="none" w:sz="0" w:space="0" w:color="auto"/>
        <w:bottom w:val="none" w:sz="0" w:space="0" w:color="auto"/>
        <w:right w:val="none" w:sz="0" w:space="0" w:color="auto"/>
      </w:divBdr>
    </w:div>
    <w:div w:id="1496415481">
      <w:bodyDiv w:val="1"/>
      <w:marLeft w:val="0"/>
      <w:marRight w:val="0"/>
      <w:marTop w:val="0"/>
      <w:marBottom w:val="0"/>
      <w:divBdr>
        <w:top w:val="none" w:sz="0" w:space="0" w:color="auto"/>
        <w:left w:val="none" w:sz="0" w:space="0" w:color="auto"/>
        <w:bottom w:val="none" w:sz="0" w:space="0" w:color="auto"/>
        <w:right w:val="none" w:sz="0" w:space="0" w:color="auto"/>
      </w:divBdr>
    </w:div>
    <w:div w:id="1496526952">
      <w:bodyDiv w:val="1"/>
      <w:marLeft w:val="0"/>
      <w:marRight w:val="0"/>
      <w:marTop w:val="0"/>
      <w:marBottom w:val="0"/>
      <w:divBdr>
        <w:top w:val="none" w:sz="0" w:space="0" w:color="auto"/>
        <w:left w:val="none" w:sz="0" w:space="0" w:color="auto"/>
        <w:bottom w:val="none" w:sz="0" w:space="0" w:color="auto"/>
        <w:right w:val="none" w:sz="0" w:space="0" w:color="auto"/>
      </w:divBdr>
    </w:div>
    <w:div w:id="1503079882">
      <w:bodyDiv w:val="1"/>
      <w:marLeft w:val="0"/>
      <w:marRight w:val="0"/>
      <w:marTop w:val="0"/>
      <w:marBottom w:val="0"/>
      <w:divBdr>
        <w:top w:val="none" w:sz="0" w:space="0" w:color="auto"/>
        <w:left w:val="none" w:sz="0" w:space="0" w:color="auto"/>
        <w:bottom w:val="none" w:sz="0" w:space="0" w:color="auto"/>
        <w:right w:val="none" w:sz="0" w:space="0" w:color="auto"/>
      </w:divBdr>
    </w:div>
    <w:div w:id="1527209794">
      <w:bodyDiv w:val="1"/>
      <w:marLeft w:val="0"/>
      <w:marRight w:val="0"/>
      <w:marTop w:val="0"/>
      <w:marBottom w:val="0"/>
      <w:divBdr>
        <w:top w:val="none" w:sz="0" w:space="0" w:color="auto"/>
        <w:left w:val="none" w:sz="0" w:space="0" w:color="auto"/>
        <w:bottom w:val="none" w:sz="0" w:space="0" w:color="auto"/>
        <w:right w:val="none" w:sz="0" w:space="0" w:color="auto"/>
      </w:divBdr>
    </w:div>
    <w:div w:id="1534612615">
      <w:bodyDiv w:val="1"/>
      <w:marLeft w:val="0"/>
      <w:marRight w:val="0"/>
      <w:marTop w:val="0"/>
      <w:marBottom w:val="0"/>
      <w:divBdr>
        <w:top w:val="none" w:sz="0" w:space="0" w:color="auto"/>
        <w:left w:val="none" w:sz="0" w:space="0" w:color="auto"/>
        <w:bottom w:val="none" w:sz="0" w:space="0" w:color="auto"/>
        <w:right w:val="none" w:sz="0" w:space="0" w:color="auto"/>
      </w:divBdr>
    </w:div>
    <w:div w:id="1549610215">
      <w:bodyDiv w:val="1"/>
      <w:marLeft w:val="0"/>
      <w:marRight w:val="0"/>
      <w:marTop w:val="0"/>
      <w:marBottom w:val="0"/>
      <w:divBdr>
        <w:top w:val="none" w:sz="0" w:space="0" w:color="auto"/>
        <w:left w:val="none" w:sz="0" w:space="0" w:color="auto"/>
        <w:bottom w:val="none" w:sz="0" w:space="0" w:color="auto"/>
        <w:right w:val="none" w:sz="0" w:space="0" w:color="auto"/>
      </w:divBdr>
    </w:div>
    <w:div w:id="1555776585">
      <w:bodyDiv w:val="1"/>
      <w:marLeft w:val="0"/>
      <w:marRight w:val="0"/>
      <w:marTop w:val="0"/>
      <w:marBottom w:val="0"/>
      <w:divBdr>
        <w:top w:val="none" w:sz="0" w:space="0" w:color="auto"/>
        <w:left w:val="none" w:sz="0" w:space="0" w:color="auto"/>
        <w:bottom w:val="none" w:sz="0" w:space="0" w:color="auto"/>
        <w:right w:val="none" w:sz="0" w:space="0" w:color="auto"/>
      </w:divBdr>
    </w:div>
    <w:div w:id="1557661565">
      <w:bodyDiv w:val="1"/>
      <w:marLeft w:val="0"/>
      <w:marRight w:val="0"/>
      <w:marTop w:val="0"/>
      <w:marBottom w:val="0"/>
      <w:divBdr>
        <w:top w:val="none" w:sz="0" w:space="0" w:color="auto"/>
        <w:left w:val="none" w:sz="0" w:space="0" w:color="auto"/>
        <w:bottom w:val="none" w:sz="0" w:space="0" w:color="auto"/>
        <w:right w:val="none" w:sz="0" w:space="0" w:color="auto"/>
      </w:divBdr>
    </w:div>
    <w:div w:id="1561549932">
      <w:bodyDiv w:val="1"/>
      <w:marLeft w:val="0"/>
      <w:marRight w:val="0"/>
      <w:marTop w:val="0"/>
      <w:marBottom w:val="0"/>
      <w:divBdr>
        <w:top w:val="none" w:sz="0" w:space="0" w:color="auto"/>
        <w:left w:val="none" w:sz="0" w:space="0" w:color="auto"/>
        <w:bottom w:val="none" w:sz="0" w:space="0" w:color="auto"/>
        <w:right w:val="none" w:sz="0" w:space="0" w:color="auto"/>
      </w:divBdr>
    </w:div>
    <w:div w:id="1571619829">
      <w:bodyDiv w:val="1"/>
      <w:marLeft w:val="0"/>
      <w:marRight w:val="0"/>
      <w:marTop w:val="0"/>
      <w:marBottom w:val="0"/>
      <w:divBdr>
        <w:top w:val="none" w:sz="0" w:space="0" w:color="auto"/>
        <w:left w:val="none" w:sz="0" w:space="0" w:color="auto"/>
        <w:bottom w:val="none" w:sz="0" w:space="0" w:color="auto"/>
        <w:right w:val="none" w:sz="0" w:space="0" w:color="auto"/>
      </w:divBdr>
    </w:div>
    <w:div w:id="1576695644">
      <w:bodyDiv w:val="1"/>
      <w:marLeft w:val="0"/>
      <w:marRight w:val="0"/>
      <w:marTop w:val="0"/>
      <w:marBottom w:val="0"/>
      <w:divBdr>
        <w:top w:val="none" w:sz="0" w:space="0" w:color="auto"/>
        <w:left w:val="none" w:sz="0" w:space="0" w:color="auto"/>
        <w:bottom w:val="none" w:sz="0" w:space="0" w:color="auto"/>
        <w:right w:val="none" w:sz="0" w:space="0" w:color="auto"/>
      </w:divBdr>
    </w:div>
    <w:div w:id="1582330495">
      <w:bodyDiv w:val="1"/>
      <w:marLeft w:val="0"/>
      <w:marRight w:val="0"/>
      <w:marTop w:val="0"/>
      <w:marBottom w:val="0"/>
      <w:divBdr>
        <w:top w:val="none" w:sz="0" w:space="0" w:color="auto"/>
        <w:left w:val="none" w:sz="0" w:space="0" w:color="auto"/>
        <w:bottom w:val="none" w:sz="0" w:space="0" w:color="auto"/>
        <w:right w:val="none" w:sz="0" w:space="0" w:color="auto"/>
      </w:divBdr>
    </w:div>
    <w:div w:id="1587690124">
      <w:bodyDiv w:val="1"/>
      <w:marLeft w:val="0"/>
      <w:marRight w:val="0"/>
      <w:marTop w:val="0"/>
      <w:marBottom w:val="0"/>
      <w:divBdr>
        <w:top w:val="none" w:sz="0" w:space="0" w:color="auto"/>
        <w:left w:val="none" w:sz="0" w:space="0" w:color="auto"/>
        <w:bottom w:val="none" w:sz="0" w:space="0" w:color="auto"/>
        <w:right w:val="none" w:sz="0" w:space="0" w:color="auto"/>
      </w:divBdr>
    </w:div>
    <w:div w:id="1596749658">
      <w:bodyDiv w:val="1"/>
      <w:marLeft w:val="0"/>
      <w:marRight w:val="0"/>
      <w:marTop w:val="0"/>
      <w:marBottom w:val="0"/>
      <w:divBdr>
        <w:top w:val="none" w:sz="0" w:space="0" w:color="auto"/>
        <w:left w:val="none" w:sz="0" w:space="0" w:color="auto"/>
        <w:bottom w:val="none" w:sz="0" w:space="0" w:color="auto"/>
        <w:right w:val="none" w:sz="0" w:space="0" w:color="auto"/>
      </w:divBdr>
    </w:div>
    <w:div w:id="1599287766">
      <w:bodyDiv w:val="1"/>
      <w:marLeft w:val="0"/>
      <w:marRight w:val="0"/>
      <w:marTop w:val="0"/>
      <w:marBottom w:val="0"/>
      <w:divBdr>
        <w:top w:val="none" w:sz="0" w:space="0" w:color="auto"/>
        <w:left w:val="none" w:sz="0" w:space="0" w:color="auto"/>
        <w:bottom w:val="none" w:sz="0" w:space="0" w:color="auto"/>
        <w:right w:val="none" w:sz="0" w:space="0" w:color="auto"/>
      </w:divBdr>
    </w:div>
    <w:div w:id="1609190674">
      <w:bodyDiv w:val="1"/>
      <w:marLeft w:val="0"/>
      <w:marRight w:val="0"/>
      <w:marTop w:val="0"/>
      <w:marBottom w:val="0"/>
      <w:divBdr>
        <w:top w:val="none" w:sz="0" w:space="0" w:color="auto"/>
        <w:left w:val="none" w:sz="0" w:space="0" w:color="auto"/>
        <w:bottom w:val="none" w:sz="0" w:space="0" w:color="auto"/>
        <w:right w:val="none" w:sz="0" w:space="0" w:color="auto"/>
      </w:divBdr>
    </w:div>
    <w:div w:id="1616867175">
      <w:bodyDiv w:val="1"/>
      <w:marLeft w:val="0"/>
      <w:marRight w:val="0"/>
      <w:marTop w:val="0"/>
      <w:marBottom w:val="0"/>
      <w:divBdr>
        <w:top w:val="none" w:sz="0" w:space="0" w:color="auto"/>
        <w:left w:val="none" w:sz="0" w:space="0" w:color="auto"/>
        <w:bottom w:val="none" w:sz="0" w:space="0" w:color="auto"/>
        <w:right w:val="none" w:sz="0" w:space="0" w:color="auto"/>
      </w:divBdr>
    </w:div>
    <w:div w:id="1618870988">
      <w:bodyDiv w:val="1"/>
      <w:marLeft w:val="0"/>
      <w:marRight w:val="0"/>
      <w:marTop w:val="0"/>
      <w:marBottom w:val="0"/>
      <w:divBdr>
        <w:top w:val="none" w:sz="0" w:space="0" w:color="auto"/>
        <w:left w:val="none" w:sz="0" w:space="0" w:color="auto"/>
        <w:bottom w:val="none" w:sz="0" w:space="0" w:color="auto"/>
        <w:right w:val="none" w:sz="0" w:space="0" w:color="auto"/>
      </w:divBdr>
    </w:div>
    <w:div w:id="1633712144">
      <w:bodyDiv w:val="1"/>
      <w:marLeft w:val="0"/>
      <w:marRight w:val="0"/>
      <w:marTop w:val="0"/>
      <w:marBottom w:val="0"/>
      <w:divBdr>
        <w:top w:val="none" w:sz="0" w:space="0" w:color="auto"/>
        <w:left w:val="none" w:sz="0" w:space="0" w:color="auto"/>
        <w:bottom w:val="none" w:sz="0" w:space="0" w:color="auto"/>
        <w:right w:val="none" w:sz="0" w:space="0" w:color="auto"/>
      </w:divBdr>
    </w:div>
    <w:div w:id="1648321670">
      <w:bodyDiv w:val="1"/>
      <w:marLeft w:val="0"/>
      <w:marRight w:val="0"/>
      <w:marTop w:val="0"/>
      <w:marBottom w:val="0"/>
      <w:divBdr>
        <w:top w:val="none" w:sz="0" w:space="0" w:color="auto"/>
        <w:left w:val="none" w:sz="0" w:space="0" w:color="auto"/>
        <w:bottom w:val="none" w:sz="0" w:space="0" w:color="auto"/>
        <w:right w:val="none" w:sz="0" w:space="0" w:color="auto"/>
      </w:divBdr>
    </w:div>
    <w:div w:id="1676763908">
      <w:bodyDiv w:val="1"/>
      <w:marLeft w:val="0"/>
      <w:marRight w:val="0"/>
      <w:marTop w:val="0"/>
      <w:marBottom w:val="0"/>
      <w:divBdr>
        <w:top w:val="none" w:sz="0" w:space="0" w:color="auto"/>
        <w:left w:val="none" w:sz="0" w:space="0" w:color="auto"/>
        <w:bottom w:val="none" w:sz="0" w:space="0" w:color="auto"/>
        <w:right w:val="none" w:sz="0" w:space="0" w:color="auto"/>
      </w:divBdr>
    </w:div>
    <w:div w:id="1715304839">
      <w:bodyDiv w:val="1"/>
      <w:marLeft w:val="0"/>
      <w:marRight w:val="0"/>
      <w:marTop w:val="0"/>
      <w:marBottom w:val="0"/>
      <w:divBdr>
        <w:top w:val="none" w:sz="0" w:space="0" w:color="auto"/>
        <w:left w:val="none" w:sz="0" w:space="0" w:color="auto"/>
        <w:bottom w:val="none" w:sz="0" w:space="0" w:color="auto"/>
        <w:right w:val="none" w:sz="0" w:space="0" w:color="auto"/>
      </w:divBdr>
    </w:div>
    <w:div w:id="1718817029">
      <w:bodyDiv w:val="1"/>
      <w:marLeft w:val="0"/>
      <w:marRight w:val="0"/>
      <w:marTop w:val="0"/>
      <w:marBottom w:val="0"/>
      <w:divBdr>
        <w:top w:val="none" w:sz="0" w:space="0" w:color="auto"/>
        <w:left w:val="none" w:sz="0" w:space="0" w:color="auto"/>
        <w:bottom w:val="none" w:sz="0" w:space="0" w:color="auto"/>
        <w:right w:val="none" w:sz="0" w:space="0" w:color="auto"/>
      </w:divBdr>
    </w:div>
    <w:div w:id="1726446721">
      <w:bodyDiv w:val="1"/>
      <w:marLeft w:val="0"/>
      <w:marRight w:val="0"/>
      <w:marTop w:val="0"/>
      <w:marBottom w:val="0"/>
      <w:divBdr>
        <w:top w:val="none" w:sz="0" w:space="0" w:color="auto"/>
        <w:left w:val="none" w:sz="0" w:space="0" w:color="auto"/>
        <w:bottom w:val="none" w:sz="0" w:space="0" w:color="auto"/>
        <w:right w:val="none" w:sz="0" w:space="0" w:color="auto"/>
      </w:divBdr>
    </w:div>
    <w:div w:id="1735346056">
      <w:bodyDiv w:val="1"/>
      <w:marLeft w:val="0"/>
      <w:marRight w:val="0"/>
      <w:marTop w:val="0"/>
      <w:marBottom w:val="0"/>
      <w:divBdr>
        <w:top w:val="none" w:sz="0" w:space="0" w:color="auto"/>
        <w:left w:val="none" w:sz="0" w:space="0" w:color="auto"/>
        <w:bottom w:val="none" w:sz="0" w:space="0" w:color="auto"/>
        <w:right w:val="none" w:sz="0" w:space="0" w:color="auto"/>
      </w:divBdr>
    </w:div>
    <w:div w:id="1765416513">
      <w:bodyDiv w:val="1"/>
      <w:marLeft w:val="0"/>
      <w:marRight w:val="0"/>
      <w:marTop w:val="0"/>
      <w:marBottom w:val="0"/>
      <w:divBdr>
        <w:top w:val="none" w:sz="0" w:space="0" w:color="auto"/>
        <w:left w:val="none" w:sz="0" w:space="0" w:color="auto"/>
        <w:bottom w:val="none" w:sz="0" w:space="0" w:color="auto"/>
        <w:right w:val="none" w:sz="0" w:space="0" w:color="auto"/>
      </w:divBdr>
    </w:div>
    <w:div w:id="1775324592">
      <w:bodyDiv w:val="1"/>
      <w:marLeft w:val="0"/>
      <w:marRight w:val="0"/>
      <w:marTop w:val="0"/>
      <w:marBottom w:val="0"/>
      <w:divBdr>
        <w:top w:val="none" w:sz="0" w:space="0" w:color="auto"/>
        <w:left w:val="none" w:sz="0" w:space="0" w:color="auto"/>
        <w:bottom w:val="none" w:sz="0" w:space="0" w:color="auto"/>
        <w:right w:val="none" w:sz="0" w:space="0" w:color="auto"/>
      </w:divBdr>
    </w:div>
    <w:div w:id="1782646780">
      <w:bodyDiv w:val="1"/>
      <w:marLeft w:val="0"/>
      <w:marRight w:val="0"/>
      <w:marTop w:val="0"/>
      <w:marBottom w:val="0"/>
      <w:divBdr>
        <w:top w:val="none" w:sz="0" w:space="0" w:color="auto"/>
        <w:left w:val="none" w:sz="0" w:space="0" w:color="auto"/>
        <w:bottom w:val="none" w:sz="0" w:space="0" w:color="auto"/>
        <w:right w:val="none" w:sz="0" w:space="0" w:color="auto"/>
      </w:divBdr>
    </w:div>
    <w:div w:id="1815175286">
      <w:bodyDiv w:val="1"/>
      <w:marLeft w:val="0"/>
      <w:marRight w:val="0"/>
      <w:marTop w:val="0"/>
      <w:marBottom w:val="0"/>
      <w:divBdr>
        <w:top w:val="none" w:sz="0" w:space="0" w:color="auto"/>
        <w:left w:val="none" w:sz="0" w:space="0" w:color="auto"/>
        <w:bottom w:val="none" w:sz="0" w:space="0" w:color="auto"/>
        <w:right w:val="none" w:sz="0" w:space="0" w:color="auto"/>
      </w:divBdr>
    </w:div>
    <w:div w:id="1842156034">
      <w:bodyDiv w:val="1"/>
      <w:marLeft w:val="0"/>
      <w:marRight w:val="0"/>
      <w:marTop w:val="0"/>
      <w:marBottom w:val="0"/>
      <w:divBdr>
        <w:top w:val="none" w:sz="0" w:space="0" w:color="auto"/>
        <w:left w:val="none" w:sz="0" w:space="0" w:color="auto"/>
        <w:bottom w:val="none" w:sz="0" w:space="0" w:color="auto"/>
        <w:right w:val="none" w:sz="0" w:space="0" w:color="auto"/>
      </w:divBdr>
    </w:div>
    <w:div w:id="1847281719">
      <w:bodyDiv w:val="1"/>
      <w:marLeft w:val="0"/>
      <w:marRight w:val="0"/>
      <w:marTop w:val="0"/>
      <w:marBottom w:val="0"/>
      <w:divBdr>
        <w:top w:val="none" w:sz="0" w:space="0" w:color="auto"/>
        <w:left w:val="none" w:sz="0" w:space="0" w:color="auto"/>
        <w:bottom w:val="none" w:sz="0" w:space="0" w:color="auto"/>
        <w:right w:val="none" w:sz="0" w:space="0" w:color="auto"/>
      </w:divBdr>
    </w:div>
    <w:div w:id="1850171199">
      <w:bodyDiv w:val="1"/>
      <w:marLeft w:val="0"/>
      <w:marRight w:val="0"/>
      <w:marTop w:val="0"/>
      <w:marBottom w:val="0"/>
      <w:divBdr>
        <w:top w:val="none" w:sz="0" w:space="0" w:color="auto"/>
        <w:left w:val="none" w:sz="0" w:space="0" w:color="auto"/>
        <w:bottom w:val="none" w:sz="0" w:space="0" w:color="auto"/>
        <w:right w:val="none" w:sz="0" w:space="0" w:color="auto"/>
      </w:divBdr>
    </w:div>
    <w:div w:id="1852597398">
      <w:bodyDiv w:val="1"/>
      <w:marLeft w:val="0"/>
      <w:marRight w:val="0"/>
      <w:marTop w:val="0"/>
      <w:marBottom w:val="0"/>
      <w:divBdr>
        <w:top w:val="none" w:sz="0" w:space="0" w:color="auto"/>
        <w:left w:val="none" w:sz="0" w:space="0" w:color="auto"/>
        <w:bottom w:val="none" w:sz="0" w:space="0" w:color="auto"/>
        <w:right w:val="none" w:sz="0" w:space="0" w:color="auto"/>
      </w:divBdr>
    </w:div>
    <w:div w:id="1860390152">
      <w:bodyDiv w:val="1"/>
      <w:marLeft w:val="0"/>
      <w:marRight w:val="0"/>
      <w:marTop w:val="0"/>
      <w:marBottom w:val="0"/>
      <w:divBdr>
        <w:top w:val="none" w:sz="0" w:space="0" w:color="auto"/>
        <w:left w:val="none" w:sz="0" w:space="0" w:color="auto"/>
        <w:bottom w:val="none" w:sz="0" w:space="0" w:color="auto"/>
        <w:right w:val="none" w:sz="0" w:space="0" w:color="auto"/>
      </w:divBdr>
    </w:div>
    <w:div w:id="1862545768">
      <w:bodyDiv w:val="1"/>
      <w:marLeft w:val="0"/>
      <w:marRight w:val="0"/>
      <w:marTop w:val="0"/>
      <w:marBottom w:val="0"/>
      <w:divBdr>
        <w:top w:val="none" w:sz="0" w:space="0" w:color="auto"/>
        <w:left w:val="none" w:sz="0" w:space="0" w:color="auto"/>
        <w:bottom w:val="none" w:sz="0" w:space="0" w:color="auto"/>
        <w:right w:val="none" w:sz="0" w:space="0" w:color="auto"/>
      </w:divBdr>
    </w:div>
    <w:div w:id="1876693129">
      <w:bodyDiv w:val="1"/>
      <w:marLeft w:val="0"/>
      <w:marRight w:val="0"/>
      <w:marTop w:val="0"/>
      <w:marBottom w:val="0"/>
      <w:divBdr>
        <w:top w:val="none" w:sz="0" w:space="0" w:color="auto"/>
        <w:left w:val="none" w:sz="0" w:space="0" w:color="auto"/>
        <w:bottom w:val="none" w:sz="0" w:space="0" w:color="auto"/>
        <w:right w:val="none" w:sz="0" w:space="0" w:color="auto"/>
      </w:divBdr>
    </w:div>
    <w:div w:id="1878079529">
      <w:bodyDiv w:val="1"/>
      <w:marLeft w:val="0"/>
      <w:marRight w:val="0"/>
      <w:marTop w:val="0"/>
      <w:marBottom w:val="0"/>
      <w:divBdr>
        <w:top w:val="none" w:sz="0" w:space="0" w:color="auto"/>
        <w:left w:val="none" w:sz="0" w:space="0" w:color="auto"/>
        <w:bottom w:val="none" w:sz="0" w:space="0" w:color="auto"/>
        <w:right w:val="none" w:sz="0" w:space="0" w:color="auto"/>
      </w:divBdr>
    </w:div>
    <w:div w:id="1886480064">
      <w:bodyDiv w:val="1"/>
      <w:marLeft w:val="0"/>
      <w:marRight w:val="0"/>
      <w:marTop w:val="0"/>
      <w:marBottom w:val="0"/>
      <w:divBdr>
        <w:top w:val="none" w:sz="0" w:space="0" w:color="auto"/>
        <w:left w:val="none" w:sz="0" w:space="0" w:color="auto"/>
        <w:bottom w:val="none" w:sz="0" w:space="0" w:color="auto"/>
        <w:right w:val="none" w:sz="0" w:space="0" w:color="auto"/>
      </w:divBdr>
    </w:div>
    <w:div w:id="1889412494">
      <w:bodyDiv w:val="1"/>
      <w:marLeft w:val="0"/>
      <w:marRight w:val="0"/>
      <w:marTop w:val="0"/>
      <w:marBottom w:val="0"/>
      <w:divBdr>
        <w:top w:val="none" w:sz="0" w:space="0" w:color="auto"/>
        <w:left w:val="none" w:sz="0" w:space="0" w:color="auto"/>
        <w:bottom w:val="none" w:sz="0" w:space="0" w:color="auto"/>
        <w:right w:val="none" w:sz="0" w:space="0" w:color="auto"/>
      </w:divBdr>
    </w:div>
    <w:div w:id="1898272507">
      <w:bodyDiv w:val="1"/>
      <w:marLeft w:val="0"/>
      <w:marRight w:val="0"/>
      <w:marTop w:val="0"/>
      <w:marBottom w:val="0"/>
      <w:divBdr>
        <w:top w:val="none" w:sz="0" w:space="0" w:color="auto"/>
        <w:left w:val="none" w:sz="0" w:space="0" w:color="auto"/>
        <w:bottom w:val="none" w:sz="0" w:space="0" w:color="auto"/>
        <w:right w:val="none" w:sz="0" w:space="0" w:color="auto"/>
      </w:divBdr>
    </w:div>
    <w:div w:id="1935896077">
      <w:bodyDiv w:val="1"/>
      <w:marLeft w:val="0"/>
      <w:marRight w:val="0"/>
      <w:marTop w:val="0"/>
      <w:marBottom w:val="0"/>
      <w:divBdr>
        <w:top w:val="none" w:sz="0" w:space="0" w:color="auto"/>
        <w:left w:val="none" w:sz="0" w:space="0" w:color="auto"/>
        <w:bottom w:val="none" w:sz="0" w:space="0" w:color="auto"/>
        <w:right w:val="none" w:sz="0" w:space="0" w:color="auto"/>
      </w:divBdr>
    </w:div>
    <w:div w:id="1944652936">
      <w:bodyDiv w:val="1"/>
      <w:marLeft w:val="0"/>
      <w:marRight w:val="0"/>
      <w:marTop w:val="0"/>
      <w:marBottom w:val="0"/>
      <w:divBdr>
        <w:top w:val="none" w:sz="0" w:space="0" w:color="auto"/>
        <w:left w:val="none" w:sz="0" w:space="0" w:color="auto"/>
        <w:bottom w:val="none" w:sz="0" w:space="0" w:color="auto"/>
        <w:right w:val="none" w:sz="0" w:space="0" w:color="auto"/>
      </w:divBdr>
    </w:div>
    <w:div w:id="1948613452">
      <w:bodyDiv w:val="1"/>
      <w:marLeft w:val="0"/>
      <w:marRight w:val="0"/>
      <w:marTop w:val="0"/>
      <w:marBottom w:val="0"/>
      <w:divBdr>
        <w:top w:val="none" w:sz="0" w:space="0" w:color="auto"/>
        <w:left w:val="none" w:sz="0" w:space="0" w:color="auto"/>
        <w:bottom w:val="none" w:sz="0" w:space="0" w:color="auto"/>
        <w:right w:val="none" w:sz="0" w:space="0" w:color="auto"/>
      </w:divBdr>
    </w:div>
    <w:div w:id="1949120230">
      <w:bodyDiv w:val="1"/>
      <w:marLeft w:val="0"/>
      <w:marRight w:val="0"/>
      <w:marTop w:val="0"/>
      <w:marBottom w:val="0"/>
      <w:divBdr>
        <w:top w:val="none" w:sz="0" w:space="0" w:color="auto"/>
        <w:left w:val="none" w:sz="0" w:space="0" w:color="auto"/>
        <w:bottom w:val="none" w:sz="0" w:space="0" w:color="auto"/>
        <w:right w:val="none" w:sz="0" w:space="0" w:color="auto"/>
      </w:divBdr>
    </w:div>
    <w:div w:id="1950089484">
      <w:bodyDiv w:val="1"/>
      <w:marLeft w:val="0"/>
      <w:marRight w:val="0"/>
      <w:marTop w:val="0"/>
      <w:marBottom w:val="0"/>
      <w:divBdr>
        <w:top w:val="none" w:sz="0" w:space="0" w:color="auto"/>
        <w:left w:val="none" w:sz="0" w:space="0" w:color="auto"/>
        <w:bottom w:val="none" w:sz="0" w:space="0" w:color="auto"/>
        <w:right w:val="none" w:sz="0" w:space="0" w:color="auto"/>
      </w:divBdr>
    </w:div>
    <w:div w:id="1951162581">
      <w:bodyDiv w:val="1"/>
      <w:marLeft w:val="0"/>
      <w:marRight w:val="0"/>
      <w:marTop w:val="0"/>
      <w:marBottom w:val="0"/>
      <w:divBdr>
        <w:top w:val="none" w:sz="0" w:space="0" w:color="auto"/>
        <w:left w:val="none" w:sz="0" w:space="0" w:color="auto"/>
        <w:bottom w:val="none" w:sz="0" w:space="0" w:color="auto"/>
        <w:right w:val="none" w:sz="0" w:space="0" w:color="auto"/>
      </w:divBdr>
    </w:div>
    <w:div w:id="1971935690">
      <w:bodyDiv w:val="1"/>
      <w:marLeft w:val="0"/>
      <w:marRight w:val="0"/>
      <w:marTop w:val="0"/>
      <w:marBottom w:val="0"/>
      <w:divBdr>
        <w:top w:val="none" w:sz="0" w:space="0" w:color="auto"/>
        <w:left w:val="none" w:sz="0" w:space="0" w:color="auto"/>
        <w:bottom w:val="none" w:sz="0" w:space="0" w:color="auto"/>
        <w:right w:val="none" w:sz="0" w:space="0" w:color="auto"/>
      </w:divBdr>
    </w:div>
    <w:div w:id="1978949626">
      <w:bodyDiv w:val="1"/>
      <w:marLeft w:val="0"/>
      <w:marRight w:val="0"/>
      <w:marTop w:val="0"/>
      <w:marBottom w:val="0"/>
      <w:divBdr>
        <w:top w:val="none" w:sz="0" w:space="0" w:color="auto"/>
        <w:left w:val="none" w:sz="0" w:space="0" w:color="auto"/>
        <w:bottom w:val="none" w:sz="0" w:space="0" w:color="auto"/>
        <w:right w:val="none" w:sz="0" w:space="0" w:color="auto"/>
      </w:divBdr>
    </w:div>
    <w:div w:id="1994485042">
      <w:bodyDiv w:val="1"/>
      <w:marLeft w:val="0"/>
      <w:marRight w:val="0"/>
      <w:marTop w:val="0"/>
      <w:marBottom w:val="0"/>
      <w:divBdr>
        <w:top w:val="none" w:sz="0" w:space="0" w:color="auto"/>
        <w:left w:val="none" w:sz="0" w:space="0" w:color="auto"/>
        <w:bottom w:val="none" w:sz="0" w:space="0" w:color="auto"/>
        <w:right w:val="none" w:sz="0" w:space="0" w:color="auto"/>
      </w:divBdr>
    </w:div>
    <w:div w:id="2021619461">
      <w:bodyDiv w:val="1"/>
      <w:marLeft w:val="0"/>
      <w:marRight w:val="0"/>
      <w:marTop w:val="0"/>
      <w:marBottom w:val="0"/>
      <w:divBdr>
        <w:top w:val="none" w:sz="0" w:space="0" w:color="auto"/>
        <w:left w:val="none" w:sz="0" w:space="0" w:color="auto"/>
        <w:bottom w:val="none" w:sz="0" w:space="0" w:color="auto"/>
        <w:right w:val="none" w:sz="0" w:space="0" w:color="auto"/>
      </w:divBdr>
    </w:div>
    <w:div w:id="2025859626">
      <w:bodyDiv w:val="1"/>
      <w:marLeft w:val="0"/>
      <w:marRight w:val="0"/>
      <w:marTop w:val="0"/>
      <w:marBottom w:val="0"/>
      <w:divBdr>
        <w:top w:val="none" w:sz="0" w:space="0" w:color="auto"/>
        <w:left w:val="none" w:sz="0" w:space="0" w:color="auto"/>
        <w:bottom w:val="none" w:sz="0" w:space="0" w:color="auto"/>
        <w:right w:val="none" w:sz="0" w:space="0" w:color="auto"/>
      </w:divBdr>
    </w:div>
    <w:div w:id="2034917064">
      <w:bodyDiv w:val="1"/>
      <w:marLeft w:val="0"/>
      <w:marRight w:val="0"/>
      <w:marTop w:val="0"/>
      <w:marBottom w:val="0"/>
      <w:divBdr>
        <w:top w:val="none" w:sz="0" w:space="0" w:color="auto"/>
        <w:left w:val="none" w:sz="0" w:space="0" w:color="auto"/>
        <w:bottom w:val="none" w:sz="0" w:space="0" w:color="auto"/>
        <w:right w:val="none" w:sz="0" w:space="0" w:color="auto"/>
      </w:divBdr>
    </w:div>
    <w:div w:id="2040858069">
      <w:bodyDiv w:val="1"/>
      <w:marLeft w:val="0"/>
      <w:marRight w:val="0"/>
      <w:marTop w:val="0"/>
      <w:marBottom w:val="0"/>
      <w:divBdr>
        <w:top w:val="none" w:sz="0" w:space="0" w:color="auto"/>
        <w:left w:val="none" w:sz="0" w:space="0" w:color="auto"/>
        <w:bottom w:val="none" w:sz="0" w:space="0" w:color="auto"/>
        <w:right w:val="none" w:sz="0" w:space="0" w:color="auto"/>
      </w:divBdr>
    </w:div>
    <w:div w:id="2047368456">
      <w:bodyDiv w:val="1"/>
      <w:marLeft w:val="0"/>
      <w:marRight w:val="0"/>
      <w:marTop w:val="0"/>
      <w:marBottom w:val="0"/>
      <w:divBdr>
        <w:top w:val="none" w:sz="0" w:space="0" w:color="auto"/>
        <w:left w:val="none" w:sz="0" w:space="0" w:color="auto"/>
        <w:bottom w:val="none" w:sz="0" w:space="0" w:color="auto"/>
        <w:right w:val="none" w:sz="0" w:space="0" w:color="auto"/>
      </w:divBdr>
    </w:div>
    <w:div w:id="2052728316">
      <w:bodyDiv w:val="1"/>
      <w:marLeft w:val="0"/>
      <w:marRight w:val="0"/>
      <w:marTop w:val="0"/>
      <w:marBottom w:val="0"/>
      <w:divBdr>
        <w:top w:val="none" w:sz="0" w:space="0" w:color="auto"/>
        <w:left w:val="none" w:sz="0" w:space="0" w:color="auto"/>
        <w:bottom w:val="none" w:sz="0" w:space="0" w:color="auto"/>
        <w:right w:val="none" w:sz="0" w:space="0" w:color="auto"/>
      </w:divBdr>
    </w:div>
    <w:div w:id="2086605755">
      <w:bodyDiv w:val="1"/>
      <w:marLeft w:val="0"/>
      <w:marRight w:val="0"/>
      <w:marTop w:val="0"/>
      <w:marBottom w:val="0"/>
      <w:divBdr>
        <w:top w:val="none" w:sz="0" w:space="0" w:color="auto"/>
        <w:left w:val="none" w:sz="0" w:space="0" w:color="auto"/>
        <w:bottom w:val="none" w:sz="0" w:space="0" w:color="auto"/>
        <w:right w:val="none" w:sz="0" w:space="0" w:color="auto"/>
      </w:divBdr>
    </w:div>
    <w:div w:id="2103069288">
      <w:bodyDiv w:val="1"/>
      <w:marLeft w:val="0"/>
      <w:marRight w:val="0"/>
      <w:marTop w:val="0"/>
      <w:marBottom w:val="0"/>
      <w:divBdr>
        <w:top w:val="none" w:sz="0" w:space="0" w:color="auto"/>
        <w:left w:val="none" w:sz="0" w:space="0" w:color="auto"/>
        <w:bottom w:val="none" w:sz="0" w:space="0" w:color="auto"/>
        <w:right w:val="none" w:sz="0" w:space="0" w:color="auto"/>
      </w:divBdr>
    </w:div>
    <w:div w:id="2104954672">
      <w:bodyDiv w:val="1"/>
      <w:marLeft w:val="0"/>
      <w:marRight w:val="0"/>
      <w:marTop w:val="0"/>
      <w:marBottom w:val="0"/>
      <w:divBdr>
        <w:top w:val="none" w:sz="0" w:space="0" w:color="auto"/>
        <w:left w:val="none" w:sz="0" w:space="0" w:color="auto"/>
        <w:bottom w:val="none" w:sz="0" w:space="0" w:color="auto"/>
        <w:right w:val="none" w:sz="0" w:space="0" w:color="auto"/>
      </w:divBdr>
    </w:div>
    <w:div w:id="2119251300">
      <w:bodyDiv w:val="1"/>
      <w:marLeft w:val="0"/>
      <w:marRight w:val="0"/>
      <w:marTop w:val="0"/>
      <w:marBottom w:val="0"/>
      <w:divBdr>
        <w:top w:val="none" w:sz="0" w:space="0" w:color="auto"/>
        <w:left w:val="none" w:sz="0" w:space="0" w:color="auto"/>
        <w:bottom w:val="none" w:sz="0" w:space="0" w:color="auto"/>
        <w:right w:val="none" w:sz="0" w:space="0" w:color="auto"/>
      </w:divBdr>
    </w:div>
    <w:div w:id="21235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guartasca@upec.edu.ec"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F3142-481E-4F5D-B23B-FC5F14FDD1E0}" type="doc">
      <dgm:prSet loTypeId="urn:microsoft.com/office/officeart/2005/8/layout/radial4" loCatId="relationship" qsTypeId="urn:microsoft.com/office/officeart/2005/8/quickstyle/simple5" qsCatId="simple" csTypeId="urn:microsoft.com/office/officeart/2005/8/colors/colorful1" csCatId="colorful" phldr="1"/>
      <dgm:spPr/>
      <dgm:t>
        <a:bodyPr/>
        <a:lstStyle/>
        <a:p>
          <a:endParaRPr lang="es-ES"/>
        </a:p>
      </dgm:t>
    </dgm:pt>
    <dgm:pt modelId="{B989DFDA-1DB6-4245-B53B-D30CB196D3DD}">
      <dgm:prSet phldrT="[Texto]"/>
      <dgm:spPr/>
      <dgm:t>
        <a:bodyPr/>
        <a:lstStyle/>
        <a:p>
          <a:r>
            <a:rPr lang="es-ES"/>
            <a:t>Rendimiento académico inmediato</a:t>
          </a:r>
        </a:p>
      </dgm:t>
    </dgm:pt>
    <dgm:pt modelId="{EB498419-491E-4D57-908B-59079C6DD08B}" type="parTrans" cxnId="{62460C69-6F02-4588-91E5-765CF48BE634}">
      <dgm:prSet/>
      <dgm:spPr/>
      <dgm:t>
        <a:bodyPr/>
        <a:lstStyle/>
        <a:p>
          <a:endParaRPr lang="es-ES"/>
        </a:p>
      </dgm:t>
    </dgm:pt>
    <dgm:pt modelId="{40790464-B4BF-47DB-83A0-FAB1B42810A1}" type="sibTrans" cxnId="{62460C69-6F02-4588-91E5-765CF48BE634}">
      <dgm:prSet/>
      <dgm:spPr/>
      <dgm:t>
        <a:bodyPr/>
        <a:lstStyle/>
        <a:p>
          <a:endParaRPr lang="es-ES"/>
        </a:p>
      </dgm:t>
    </dgm:pt>
    <dgm:pt modelId="{FF5860FD-DFBD-4ED7-A303-6C0065F0DEEE}" type="asst">
      <dgm:prSet phldrT="[Texto]"/>
      <dgm:spPr/>
      <dgm:t>
        <a:bodyPr/>
        <a:lstStyle/>
        <a:p>
          <a:r>
            <a:rPr lang="es-ES"/>
            <a:t>Dimensión socio- económica</a:t>
          </a:r>
        </a:p>
      </dgm:t>
    </dgm:pt>
    <dgm:pt modelId="{F135E683-82DB-47FD-839D-5786DD4BECB8}" type="parTrans" cxnId="{8340B3FD-B048-43D2-A630-D8FA32DCEA96}">
      <dgm:prSet/>
      <dgm:spPr/>
      <dgm:t>
        <a:bodyPr/>
        <a:lstStyle/>
        <a:p>
          <a:endParaRPr lang="es-ES"/>
        </a:p>
      </dgm:t>
    </dgm:pt>
    <dgm:pt modelId="{EAC57481-A26A-48B8-88FC-CC525398D5D1}" type="sibTrans" cxnId="{8340B3FD-B048-43D2-A630-D8FA32DCEA96}">
      <dgm:prSet/>
      <dgm:spPr/>
      <dgm:t>
        <a:bodyPr/>
        <a:lstStyle/>
        <a:p>
          <a:endParaRPr lang="es-ES"/>
        </a:p>
      </dgm:t>
    </dgm:pt>
    <dgm:pt modelId="{07431F04-0963-4F8C-A357-B1036593A315}">
      <dgm:prSet phldrT="[Texto]"/>
      <dgm:spPr/>
      <dgm:t>
        <a:bodyPr/>
        <a:lstStyle/>
        <a:p>
          <a:r>
            <a:rPr lang="es-ES"/>
            <a:t>Dimensión</a:t>
          </a:r>
        </a:p>
        <a:p>
          <a:r>
            <a:rPr lang="es-ES"/>
            <a:t>institucional</a:t>
          </a:r>
        </a:p>
      </dgm:t>
    </dgm:pt>
    <dgm:pt modelId="{92781D28-9397-4A0A-9F3A-E8B01B2F0FDE}" type="parTrans" cxnId="{3C1470E2-2B7E-4293-83E0-CBBC91AB32FC}">
      <dgm:prSet/>
      <dgm:spPr/>
      <dgm:t>
        <a:bodyPr/>
        <a:lstStyle/>
        <a:p>
          <a:endParaRPr lang="es-ES"/>
        </a:p>
      </dgm:t>
    </dgm:pt>
    <dgm:pt modelId="{AC6AFE31-19BC-429A-A337-7680D2699415}" type="sibTrans" cxnId="{3C1470E2-2B7E-4293-83E0-CBBC91AB32FC}">
      <dgm:prSet/>
      <dgm:spPr/>
      <dgm:t>
        <a:bodyPr/>
        <a:lstStyle/>
        <a:p>
          <a:endParaRPr lang="es-ES"/>
        </a:p>
      </dgm:t>
    </dgm:pt>
    <dgm:pt modelId="{052E6162-BB58-41C3-8BD7-06C5E0C3E0D7}">
      <dgm:prSet phldrT="[Texto]"/>
      <dgm:spPr/>
      <dgm:t>
        <a:bodyPr/>
        <a:lstStyle/>
        <a:p>
          <a:r>
            <a:rPr lang="es-ES"/>
            <a:t>Dimensión psicológica</a:t>
          </a:r>
        </a:p>
      </dgm:t>
    </dgm:pt>
    <dgm:pt modelId="{DD119CB7-85D4-473B-9A54-3FBB6AA64A82}" type="parTrans" cxnId="{E766297C-7014-4F87-9FC7-240ACFE74D0D}">
      <dgm:prSet/>
      <dgm:spPr/>
      <dgm:t>
        <a:bodyPr/>
        <a:lstStyle/>
        <a:p>
          <a:endParaRPr lang="es-ES"/>
        </a:p>
      </dgm:t>
    </dgm:pt>
    <dgm:pt modelId="{649B9D4B-FDF8-48A5-B2BA-C73E7072FFC7}" type="sibTrans" cxnId="{E766297C-7014-4F87-9FC7-240ACFE74D0D}">
      <dgm:prSet/>
      <dgm:spPr/>
      <dgm:t>
        <a:bodyPr/>
        <a:lstStyle/>
        <a:p>
          <a:endParaRPr lang="es-ES"/>
        </a:p>
      </dgm:t>
    </dgm:pt>
    <dgm:pt modelId="{8912B569-65B3-4C89-B9C4-B96F25AAC2AE}">
      <dgm:prSet phldrT="[Texto]"/>
      <dgm:spPr/>
      <dgm:t>
        <a:bodyPr/>
        <a:lstStyle/>
        <a:p>
          <a:r>
            <a:rPr lang="es-ES"/>
            <a:t>Dimensión pedagógicas</a:t>
          </a:r>
        </a:p>
      </dgm:t>
    </dgm:pt>
    <dgm:pt modelId="{FA86126F-B984-4DC4-9E29-5F8D1EC971E1}" type="parTrans" cxnId="{A2157F48-2562-404F-B67A-3EC85D53BDD5}">
      <dgm:prSet/>
      <dgm:spPr/>
      <dgm:t>
        <a:bodyPr/>
        <a:lstStyle/>
        <a:p>
          <a:endParaRPr lang="es-ES"/>
        </a:p>
      </dgm:t>
    </dgm:pt>
    <dgm:pt modelId="{E2483FB1-1E8C-4CF0-80BD-5D086DD72644}" type="sibTrans" cxnId="{A2157F48-2562-404F-B67A-3EC85D53BDD5}">
      <dgm:prSet/>
      <dgm:spPr/>
      <dgm:t>
        <a:bodyPr/>
        <a:lstStyle/>
        <a:p>
          <a:endParaRPr lang="es-ES"/>
        </a:p>
      </dgm:t>
    </dgm:pt>
    <dgm:pt modelId="{056E1786-06B1-4551-8500-8C0C2E15E9FD}" type="pres">
      <dgm:prSet presAssocID="{387F3142-481E-4F5D-B23B-FC5F14FDD1E0}" presName="cycle" presStyleCnt="0">
        <dgm:presLayoutVars>
          <dgm:chMax val="1"/>
          <dgm:dir/>
          <dgm:animLvl val="ctr"/>
          <dgm:resizeHandles val="exact"/>
        </dgm:presLayoutVars>
      </dgm:prSet>
      <dgm:spPr/>
      <dgm:t>
        <a:bodyPr/>
        <a:lstStyle/>
        <a:p>
          <a:endParaRPr lang="es-ES"/>
        </a:p>
      </dgm:t>
    </dgm:pt>
    <dgm:pt modelId="{AAB25652-5102-41C6-84D1-78121114210A}" type="pres">
      <dgm:prSet presAssocID="{B989DFDA-1DB6-4245-B53B-D30CB196D3DD}" presName="centerShape" presStyleLbl="node0" presStyleIdx="0" presStyleCnt="1"/>
      <dgm:spPr/>
      <dgm:t>
        <a:bodyPr/>
        <a:lstStyle/>
        <a:p>
          <a:endParaRPr lang="es-ES"/>
        </a:p>
      </dgm:t>
    </dgm:pt>
    <dgm:pt modelId="{178597F5-D726-457F-A7CE-1E63DC0FC738}" type="pres">
      <dgm:prSet presAssocID="{F135E683-82DB-47FD-839D-5786DD4BECB8}" presName="parTrans" presStyleLbl="bgSibTrans2D1" presStyleIdx="0" presStyleCnt="4"/>
      <dgm:spPr/>
      <dgm:t>
        <a:bodyPr/>
        <a:lstStyle/>
        <a:p>
          <a:endParaRPr lang="es-ES"/>
        </a:p>
      </dgm:t>
    </dgm:pt>
    <dgm:pt modelId="{14F674B2-7D4F-4400-B4FB-00E809B5F152}" type="pres">
      <dgm:prSet presAssocID="{FF5860FD-DFBD-4ED7-A303-6C0065F0DEEE}" presName="node" presStyleLbl="node1" presStyleIdx="0" presStyleCnt="4">
        <dgm:presLayoutVars>
          <dgm:bulletEnabled val="1"/>
        </dgm:presLayoutVars>
      </dgm:prSet>
      <dgm:spPr/>
      <dgm:t>
        <a:bodyPr/>
        <a:lstStyle/>
        <a:p>
          <a:endParaRPr lang="es-ES"/>
        </a:p>
      </dgm:t>
    </dgm:pt>
    <dgm:pt modelId="{BB75936E-094F-43D1-A748-37A950CD1050}" type="pres">
      <dgm:prSet presAssocID="{92781D28-9397-4A0A-9F3A-E8B01B2F0FDE}" presName="parTrans" presStyleLbl="bgSibTrans2D1" presStyleIdx="1" presStyleCnt="4"/>
      <dgm:spPr/>
      <dgm:t>
        <a:bodyPr/>
        <a:lstStyle/>
        <a:p>
          <a:endParaRPr lang="es-ES"/>
        </a:p>
      </dgm:t>
    </dgm:pt>
    <dgm:pt modelId="{11D8933E-5E1F-4B8A-B446-AD54ACEE89AB}" type="pres">
      <dgm:prSet presAssocID="{07431F04-0963-4F8C-A357-B1036593A315}" presName="node" presStyleLbl="node1" presStyleIdx="1" presStyleCnt="4">
        <dgm:presLayoutVars>
          <dgm:bulletEnabled val="1"/>
        </dgm:presLayoutVars>
      </dgm:prSet>
      <dgm:spPr/>
      <dgm:t>
        <a:bodyPr/>
        <a:lstStyle/>
        <a:p>
          <a:endParaRPr lang="es-ES"/>
        </a:p>
      </dgm:t>
    </dgm:pt>
    <dgm:pt modelId="{B60EF8EB-67B7-460E-BB8F-F1F404DFF65A}" type="pres">
      <dgm:prSet presAssocID="{DD119CB7-85D4-473B-9A54-3FBB6AA64A82}" presName="parTrans" presStyleLbl="bgSibTrans2D1" presStyleIdx="2" presStyleCnt="4"/>
      <dgm:spPr/>
      <dgm:t>
        <a:bodyPr/>
        <a:lstStyle/>
        <a:p>
          <a:endParaRPr lang="es-ES"/>
        </a:p>
      </dgm:t>
    </dgm:pt>
    <dgm:pt modelId="{4759F7AB-E711-4FC9-84CE-86DF9EFB1931}" type="pres">
      <dgm:prSet presAssocID="{052E6162-BB58-41C3-8BD7-06C5E0C3E0D7}" presName="node" presStyleLbl="node1" presStyleIdx="2" presStyleCnt="4">
        <dgm:presLayoutVars>
          <dgm:bulletEnabled val="1"/>
        </dgm:presLayoutVars>
      </dgm:prSet>
      <dgm:spPr/>
      <dgm:t>
        <a:bodyPr/>
        <a:lstStyle/>
        <a:p>
          <a:endParaRPr lang="es-ES"/>
        </a:p>
      </dgm:t>
    </dgm:pt>
    <dgm:pt modelId="{5AE83A8C-2D91-4C4B-BA7C-0497DE4230F2}" type="pres">
      <dgm:prSet presAssocID="{FA86126F-B984-4DC4-9E29-5F8D1EC971E1}" presName="parTrans" presStyleLbl="bgSibTrans2D1" presStyleIdx="3" presStyleCnt="4"/>
      <dgm:spPr/>
      <dgm:t>
        <a:bodyPr/>
        <a:lstStyle/>
        <a:p>
          <a:endParaRPr lang="es-ES"/>
        </a:p>
      </dgm:t>
    </dgm:pt>
    <dgm:pt modelId="{5F7B6161-85F0-4B2B-8E8A-31F0DFEA8600}" type="pres">
      <dgm:prSet presAssocID="{8912B569-65B3-4C89-B9C4-B96F25AAC2AE}" presName="node" presStyleLbl="node1" presStyleIdx="3" presStyleCnt="4">
        <dgm:presLayoutVars>
          <dgm:bulletEnabled val="1"/>
        </dgm:presLayoutVars>
      </dgm:prSet>
      <dgm:spPr/>
      <dgm:t>
        <a:bodyPr/>
        <a:lstStyle/>
        <a:p>
          <a:endParaRPr lang="es-ES"/>
        </a:p>
      </dgm:t>
    </dgm:pt>
  </dgm:ptLst>
  <dgm:cxnLst>
    <dgm:cxn modelId="{871F80B8-6BCB-48C8-AD90-DCFBD7355C2E}" type="presOf" srcId="{052E6162-BB58-41C3-8BD7-06C5E0C3E0D7}" destId="{4759F7AB-E711-4FC9-84CE-86DF9EFB1931}" srcOrd="0" destOrd="0" presId="urn:microsoft.com/office/officeart/2005/8/layout/radial4"/>
    <dgm:cxn modelId="{71D9ED06-B721-4EBF-AE63-06FA394702EC}" type="presOf" srcId="{DD119CB7-85D4-473B-9A54-3FBB6AA64A82}" destId="{B60EF8EB-67B7-460E-BB8F-F1F404DFF65A}" srcOrd="0" destOrd="0" presId="urn:microsoft.com/office/officeart/2005/8/layout/radial4"/>
    <dgm:cxn modelId="{8340B3FD-B048-43D2-A630-D8FA32DCEA96}" srcId="{B989DFDA-1DB6-4245-B53B-D30CB196D3DD}" destId="{FF5860FD-DFBD-4ED7-A303-6C0065F0DEEE}" srcOrd="0" destOrd="0" parTransId="{F135E683-82DB-47FD-839D-5786DD4BECB8}" sibTransId="{EAC57481-A26A-48B8-88FC-CC525398D5D1}"/>
    <dgm:cxn modelId="{17085E1D-90A5-4A9E-B079-780B6EA61AD3}" type="presOf" srcId="{F135E683-82DB-47FD-839D-5786DD4BECB8}" destId="{178597F5-D726-457F-A7CE-1E63DC0FC738}" srcOrd="0" destOrd="0" presId="urn:microsoft.com/office/officeart/2005/8/layout/radial4"/>
    <dgm:cxn modelId="{3C1470E2-2B7E-4293-83E0-CBBC91AB32FC}" srcId="{B989DFDA-1DB6-4245-B53B-D30CB196D3DD}" destId="{07431F04-0963-4F8C-A357-B1036593A315}" srcOrd="1" destOrd="0" parTransId="{92781D28-9397-4A0A-9F3A-E8B01B2F0FDE}" sibTransId="{AC6AFE31-19BC-429A-A337-7680D2699415}"/>
    <dgm:cxn modelId="{7607F12D-AC25-402F-8D19-EC3C89D797C0}" type="presOf" srcId="{FF5860FD-DFBD-4ED7-A303-6C0065F0DEEE}" destId="{14F674B2-7D4F-4400-B4FB-00E809B5F152}" srcOrd="0" destOrd="0" presId="urn:microsoft.com/office/officeart/2005/8/layout/radial4"/>
    <dgm:cxn modelId="{A2157F48-2562-404F-B67A-3EC85D53BDD5}" srcId="{B989DFDA-1DB6-4245-B53B-D30CB196D3DD}" destId="{8912B569-65B3-4C89-B9C4-B96F25AAC2AE}" srcOrd="3" destOrd="0" parTransId="{FA86126F-B984-4DC4-9E29-5F8D1EC971E1}" sibTransId="{E2483FB1-1E8C-4CF0-80BD-5D086DD72644}"/>
    <dgm:cxn modelId="{213D0D8B-A814-4D3B-AC00-8444C4D18218}" type="presOf" srcId="{8912B569-65B3-4C89-B9C4-B96F25AAC2AE}" destId="{5F7B6161-85F0-4B2B-8E8A-31F0DFEA8600}" srcOrd="0" destOrd="0" presId="urn:microsoft.com/office/officeart/2005/8/layout/radial4"/>
    <dgm:cxn modelId="{53D83408-FD10-4940-9655-BFC8C99DE3B9}" type="presOf" srcId="{FA86126F-B984-4DC4-9E29-5F8D1EC971E1}" destId="{5AE83A8C-2D91-4C4B-BA7C-0497DE4230F2}" srcOrd="0" destOrd="0" presId="urn:microsoft.com/office/officeart/2005/8/layout/radial4"/>
    <dgm:cxn modelId="{1035E34C-A5C1-4DBC-BAF6-780382D6992B}" type="presOf" srcId="{07431F04-0963-4F8C-A357-B1036593A315}" destId="{11D8933E-5E1F-4B8A-B446-AD54ACEE89AB}" srcOrd="0" destOrd="0" presId="urn:microsoft.com/office/officeart/2005/8/layout/radial4"/>
    <dgm:cxn modelId="{4C5154F8-20C2-4575-949B-A02B242C4369}" type="presOf" srcId="{B989DFDA-1DB6-4245-B53B-D30CB196D3DD}" destId="{AAB25652-5102-41C6-84D1-78121114210A}" srcOrd="0" destOrd="0" presId="urn:microsoft.com/office/officeart/2005/8/layout/radial4"/>
    <dgm:cxn modelId="{3122C1F9-6D4F-4F9B-A46D-18F6F09D1F04}" type="presOf" srcId="{92781D28-9397-4A0A-9F3A-E8B01B2F0FDE}" destId="{BB75936E-094F-43D1-A748-37A950CD1050}" srcOrd="0" destOrd="0" presId="urn:microsoft.com/office/officeart/2005/8/layout/radial4"/>
    <dgm:cxn modelId="{E766297C-7014-4F87-9FC7-240ACFE74D0D}" srcId="{B989DFDA-1DB6-4245-B53B-D30CB196D3DD}" destId="{052E6162-BB58-41C3-8BD7-06C5E0C3E0D7}" srcOrd="2" destOrd="0" parTransId="{DD119CB7-85D4-473B-9A54-3FBB6AA64A82}" sibTransId="{649B9D4B-FDF8-48A5-B2BA-C73E7072FFC7}"/>
    <dgm:cxn modelId="{62460C69-6F02-4588-91E5-765CF48BE634}" srcId="{387F3142-481E-4F5D-B23B-FC5F14FDD1E0}" destId="{B989DFDA-1DB6-4245-B53B-D30CB196D3DD}" srcOrd="0" destOrd="0" parTransId="{EB498419-491E-4D57-908B-59079C6DD08B}" sibTransId="{40790464-B4BF-47DB-83A0-FAB1B42810A1}"/>
    <dgm:cxn modelId="{CFC9F23A-C062-46FB-8CEE-4AAE9D73C2C5}" type="presOf" srcId="{387F3142-481E-4F5D-B23B-FC5F14FDD1E0}" destId="{056E1786-06B1-4551-8500-8C0C2E15E9FD}" srcOrd="0" destOrd="0" presId="urn:microsoft.com/office/officeart/2005/8/layout/radial4"/>
    <dgm:cxn modelId="{EB7FC953-933D-4DC0-9C08-EE5D7788C263}" type="presParOf" srcId="{056E1786-06B1-4551-8500-8C0C2E15E9FD}" destId="{AAB25652-5102-41C6-84D1-78121114210A}" srcOrd="0" destOrd="0" presId="urn:microsoft.com/office/officeart/2005/8/layout/radial4"/>
    <dgm:cxn modelId="{2FB294BA-BD45-4D65-AC3E-8AC5195E752C}" type="presParOf" srcId="{056E1786-06B1-4551-8500-8C0C2E15E9FD}" destId="{178597F5-D726-457F-A7CE-1E63DC0FC738}" srcOrd="1" destOrd="0" presId="urn:microsoft.com/office/officeart/2005/8/layout/radial4"/>
    <dgm:cxn modelId="{AE184E43-6BA0-4F23-976D-CA32672B2D56}" type="presParOf" srcId="{056E1786-06B1-4551-8500-8C0C2E15E9FD}" destId="{14F674B2-7D4F-4400-B4FB-00E809B5F152}" srcOrd="2" destOrd="0" presId="urn:microsoft.com/office/officeart/2005/8/layout/radial4"/>
    <dgm:cxn modelId="{7FBEC744-1058-421D-841E-6C3F6047139B}" type="presParOf" srcId="{056E1786-06B1-4551-8500-8C0C2E15E9FD}" destId="{BB75936E-094F-43D1-A748-37A950CD1050}" srcOrd="3" destOrd="0" presId="urn:microsoft.com/office/officeart/2005/8/layout/radial4"/>
    <dgm:cxn modelId="{75515B21-2CEF-4AF8-B727-E4D0A3C3C4B7}" type="presParOf" srcId="{056E1786-06B1-4551-8500-8C0C2E15E9FD}" destId="{11D8933E-5E1F-4B8A-B446-AD54ACEE89AB}" srcOrd="4" destOrd="0" presId="urn:microsoft.com/office/officeart/2005/8/layout/radial4"/>
    <dgm:cxn modelId="{F03937DC-2108-47BE-A887-6A9A4815EE7F}" type="presParOf" srcId="{056E1786-06B1-4551-8500-8C0C2E15E9FD}" destId="{B60EF8EB-67B7-460E-BB8F-F1F404DFF65A}" srcOrd="5" destOrd="0" presId="urn:microsoft.com/office/officeart/2005/8/layout/radial4"/>
    <dgm:cxn modelId="{EC0D116A-F82E-40A0-A8FD-AADA5020575B}" type="presParOf" srcId="{056E1786-06B1-4551-8500-8C0C2E15E9FD}" destId="{4759F7AB-E711-4FC9-84CE-86DF9EFB1931}" srcOrd="6" destOrd="0" presId="urn:microsoft.com/office/officeart/2005/8/layout/radial4"/>
    <dgm:cxn modelId="{3DFFE0F0-2114-412D-A95A-56723B1DCC53}" type="presParOf" srcId="{056E1786-06B1-4551-8500-8C0C2E15E9FD}" destId="{5AE83A8C-2D91-4C4B-BA7C-0497DE4230F2}" srcOrd="7" destOrd="0" presId="urn:microsoft.com/office/officeart/2005/8/layout/radial4"/>
    <dgm:cxn modelId="{C19A2891-6C05-4DCC-999B-715BEA5895D2}" type="presParOf" srcId="{056E1786-06B1-4551-8500-8C0C2E15E9FD}" destId="{5F7B6161-85F0-4B2B-8E8A-31F0DFEA8600}" srcOrd="8"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9B7F26-7523-4ADB-8130-E72B6C62BB8E}" type="doc">
      <dgm:prSet loTypeId="urn:microsoft.com/office/officeart/2005/8/layout/hList6" loCatId="list" qsTypeId="urn:microsoft.com/office/officeart/2005/8/quickstyle/simple1" qsCatId="simple" csTypeId="urn:microsoft.com/office/officeart/2005/8/colors/colorful1" csCatId="colorful" phldr="1"/>
      <dgm:spPr/>
      <dgm:t>
        <a:bodyPr/>
        <a:lstStyle/>
        <a:p>
          <a:endParaRPr lang="es-ES"/>
        </a:p>
      </dgm:t>
    </dgm:pt>
    <dgm:pt modelId="{02E5E95A-8874-4B18-898E-241780654A69}">
      <dgm:prSet phldrT="[Texto]" custT="1"/>
      <dgm:spPr/>
      <dgm:t>
        <a:bodyPr/>
        <a:lstStyle/>
        <a:p>
          <a:r>
            <a:rPr lang="es-ES" sz="900">
              <a:latin typeface="Times New Roman" panose="02020603050405020304" pitchFamily="18" charset="0"/>
              <a:cs typeface="Times New Roman" panose="02020603050405020304" pitchFamily="18" charset="0"/>
            </a:rPr>
            <a:t>Relación estudiante-profesor</a:t>
          </a:r>
        </a:p>
      </dgm:t>
    </dgm:pt>
    <dgm:pt modelId="{FD799E39-AD6C-4B6A-99CE-615FD710C240}" type="parTrans" cxnId="{F9065A6D-D286-4943-9BD1-C4ABB15A5C78}">
      <dgm:prSet/>
      <dgm:spPr/>
      <dgm:t>
        <a:bodyPr/>
        <a:lstStyle/>
        <a:p>
          <a:endParaRPr lang="es-ES">
            <a:latin typeface="Times New Roman" panose="02020603050405020304" pitchFamily="18" charset="0"/>
            <a:cs typeface="Times New Roman" panose="02020603050405020304" pitchFamily="18" charset="0"/>
          </a:endParaRPr>
        </a:p>
      </dgm:t>
    </dgm:pt>
    <dgm:pt modelId="{B39BA7D0-1E8C-42FD-80BB-4EF4F9452A92}" type="sibTrans" cxnId="{F9065A6D-D286-4943-9BD1-C4ABB15A5C78}">
      <dgm:prSet/>
      <dgm:spPr/>
      <dgm:t>
        <a:bodyPr/>
        <a:lstStyle/>
        <a:p>
          <a:endParaRPr lang="es-ES">
            <a:latin typeface="Times New Roman" panose="02020603050405020304" pitchFamily="18" charset="0"/>
            <a:cs typeface="Times New Roman" panose="02020603050405020304" pitchFamily="18" charset="0"/>
          </a:endParaRPr>
        </a:p>
      </dgm:t>
    </dgm:pt>
    <dgm:pt modelId="{F22BCBC9-33E6-46D1-9DF2-8A337D80A5E5}">
      <dgm:prSet phldrT="[Texto]" custT="1"/>
      <dgm:spPr/>
      <dgm:t>
        <a:bodyPr/>
        <a:lstStyle/>
        <a:p>
          <a:r>
            <a:rPr lang="es-ES" sz="900">
              <a:latin typeface="Times New Roman" panose="02020603050405020304" pitchFamily="18" charset="0"/>
              <a:cs typeface="Times New Roman" panose="02020603050405020304" pitchFamily="18" charset="0"/>
            </a:rPr>
            <a:t>Ro</a:t>
          </a:r>
        </a:p>
      </dgm:t>
    </dgm:pt>
    <dgm:pt modelId="{F8C7156F-27DF-4694-8960-6632E085B07D}" type="parTrans" cxnId="{CA19D795-59FB-4B55-BD50-6DE958FB9A31}">
      <dgm:prSet/>
      <dgm:spPr/>
      <dgm:t>
        <a:bodyPr/>
        <a:lstStyle/>
        <a:p>
          <a:endParaRPr lang="es-ES">
            <a:latin typeface="Times New Roman" panose="02020603050405020304" pitchFamily="18" charset="0"/>
            <a:cs typeface="Times New Roman" panose="02020603050405020304" pitchFamily="18" charset="0"/>
          </a:endParaRPr>
        </a:p>
      </dgm:t>
    </dgm:pt>
    <dgm:pt modelId="{043E5817-CC9E-43EC-B326-5D83AC035722}" type="sibTrans" cxnId="{CA19D795-59FB-4B55-BD50-6DE958FB9A31}">
      <dgm:prSet/>
      <dgm:spPr/>
      <dgm:t>
        <a:bodyPr/>
        <a:lstStyle/>
        <a:p>
          <a:endParaRPr lang="es-ES">
            <a:latin typeface="Times New Roman" panose="02020603050405020304" pitchFamily="18" charset="0"/>
            <a:cs typeface="Times New Roman" panose="02020603050405020304" pitchFamily="18" charset="0"/>
          </a:endParaRPr>
        </a:p>
      </dgm:t>
    </dgm:pt>
    <dgm:pt modelId="{B08BA978-99E2-44A0-87E3-85C309271235}">
      <dgm:prSet phldrT="[Texto]" custT="1"/>
      <dgm:spPr/>
      <dgm:t>
        <a:bodyPr/>
        <a:lstStyle/>
        <a:p>
          <a:r>
            <a:rPr lang="es-ES" sz="900">
              <a:latin typeface="Times New Roman" panose="02020603050405020304" pitchFamily="18" charset="0"/>
              <a:cs typeface="Times New Roman" panose="02020603050405020304" pitchFamily="18" charset="0"/>
            </a:rPr>
            <a:t>Dimensión socio familiar</a:t>
          </a:r>
        </a:p>
      </dgm:t>
    </dgm:pt>
    <dgm:pt modelId="{486E8F1B-6326-4BBD-920D-A0627652A7F5}" type="parTrans" cxnId="{03430082-71E0-4C55-A1F8-1A777247DC5D}">
      <dgm:prSet/>
      <dgm:spPr/>
      <dgm:t>
        <a:bodyPr/>
        <a:lstStyle/>
        <a:p>
          <a:endParaRPr lang="es-ES">
            <a:latin typeface="Times New Roman" panose="02020603050405020304" pitchFamily="18" charset="0"/>
            <a:cs typeface="Times New Roman" panose="02020603050405020304" pitchFamily="18" charset="0"/>
          </a:endParaRPr>
        </a:p>
      </dgm:t>
    </dgm:pt>
    <dgm:pt modelId="{4473350D-AE03-4728-ADA9-4D8DDB44F64A}" type="sibTrans" cxnId="{03430082-71E0-4C55-A1F8-1A777247DC5D}">
      <dgm:prSet/>
      <dgm:spPr/>
      <dgm:t>
        <a:bodyPr/>
        <a:lstStyle/>
        <a:p>
          <a:endParaRPr lang="es-ES">
            <a:latin typeface="Times New Roman" panose="02020603050405020304" pitchFamily="18" charset="0"/>
            <a:cs typeface="Times New Roman" panose="02020603050405020304" pitchFamily="18" charset="0"/>
          </a:endParaRPr>
        </a:p>
      </dgm:t>
    </dgm:pt>
    <dgm:pt modelId="{CAF27A83-ABAA-4CDC-B1C8-285960714E22}">
      <dgm:prSet phldrT="[Texto]" custT="1"/>
      <dgm:spPr/>
      <dgm:t>
        <a:bodyPr/>
        <a:lstStyle/>
        <a:p>
          <a:r>
            <a:rPr lang="es-ES" sz="900">
              <a:latin typeface="Times New Roman" panose="02020603050405020304" pitchFamily="18" charset="0"/>
              <a:cs typeface="Times New Roman" panose="02020603050405020304" pitchFamily="18" charset="0"/>
            </a:rPr>
            <a:t>Ingresos </a:t>
          </a:r>
        </a:p>
      </dgm:t>
    </dgm:pt>
    <dgm:pt modelId="{7939A863-A722-4404-9BC3-37EF1E4FC7A0}" type="parTrans" cxnId="{ADB08398-6076-46CC-8B1F-B32DA1B1C143}">
      <dgm:prSet/>
      <dgm:spPr/>
      <dgm:t>
        <a:bodyPr/>
        <a:lstStyle/>
        <a:p>
          <a:endParaRPr lang="es-ES">
            <a:latin typeface="Times New Roman" panose="02020603050405020304" pitchFamily="18" charset="0"/>
            <a:cs typeface="Times New Roman" panose="02020603050405020304" pitchFamily="18" charset="0"/>
          </a:endParaRPr>
        </a:p>
      </dgm:t>
    </dgm:pt>
    <dgm:pt modelId="{1ED80743-C2A7-49AA-90DA-0BBA0ECD0226}" type="sibTrans" cxnId="{ADB08398-6076-46CC-8B1F-B32DA1B1C143}">
      <dgm:prSet/>
      <dgm:spPr/>
      <dgm:t>
        <a:bodyPr/>
        <a:lstStyle/>
        <a:p>
          <a:endParaRPr lang="es-ES">
            <a:latin typeface="Times New Roman" panose="02020603050405020304" pitchFamily="18" charset="0"/>
            <a:cs typeface="Times New Roman" panose="02020603050405020304" pitchFamily="18" charset="0"/>
          </a:endParaRPr>
        </a:p>
      </dgm:t>
    </dgm:pt>
    <dgm:pt modelId="{7C9BB8A8-C3E7-4C6A-B850-C68889A2692F}">
      <dgm:prSet phldrT="[Texto]" custT="1"/>
      <dgm:spPr/>
      <dgm:t>
        <a:bodyPr/>
        <a:lstStyle/>
        <a:p>
          <a:r>
            <a:rPr lang="es-ES" sz="900">
              <a:latin typeface="Times New Roman" panose="02020603050405020304" pitchFamily="18" charset="0"/>
              <a:cs typeface="Times New Roman" panose="02020603050405020304" pitchFamily="18" charset="0"/>
            </a:rPr>
            <a:t>Apoyo familiar</a:t>
          </a:r>
        </a:p>
      </dgm:t>
    </dgm:pt>
    <dgm:pt modelId="{B85D4E55-E2B8-4836-B393-6075CDFDAAC6}" type="parTrans" cxnId="{2C88E526-FC46-4AED-8EA1-82CD9463BAC2}">
      <dgm:prSet/>
      <dgm:spPr/>
      <dgm:t>
        <a:bodyPr/>
        <a:lstStyle/>
        <a:p>
          <a:endParaRPr lang="es-ES">
            <a:latin typeface="Times New Roman" panose="02020603050405020304" pitchFamily="18" charset="0"/>
            <a:cs typeface="Times New Roman" panose="02020603050405020304" pitchFamily="18" charset="0"/>
          </a:endParaRPr>
        </a:p>
      </dgm:t>
    </dgm:pt>
    <dgm:pt modelId="{A7506036-FEDE-4E93-829F-E2456B9D102B}" type="sibTrans" cxnId="{2C88E526-FC46-4AED-8EA1-82CD9463BAC2}">
      <dgm:prSet/>
      <dgm:spPr/>
      <dgm:t>
        <a:bodyPr/>
        <a:lstStyle/>
        <a:p>
          <a:endParaRPr lang="es-ES">
            <a:latin typeface="Times New Roman" panose="02020603050405020304" pitchFamily="18" charset="0"/>
            <a:cs typeface="Times New Roman" panose="02020603050405020304" pitchFamily="18" charset="0"/>
          </a:endParaRPr>
        </a:p>
      </dgm:t>
    </dgm:pt>
    <dgm:pt modelId="{437D16C9-2C01-4127-BFB7-42D1BB807998}">
      <dgm:prSet phldrT="[Texto]" custT="1"/>
      <dgm:spPr/>
      <dgm:t>
        <a:bodyPr/>
        <a:lstStyle/>
        <a:p>
          <a:r>
            <a:rPr lang="es-ES" sz="1000">
              <a:latin typeface="Times New Roman" panose="02020603050405020304" pitchFamily="18" charset="0"/>
              <a:cs typeface="Times New Roman" panose="02020603050405020304" pitchFamily="18" charset="0"/>
            </a:rPr>
            <a:t>Dimensión institucional</a:t>
          </a:r>
        </a:p>
      </dgm:t>
    </dgm:pt>
    <dgm:pt modelId="{1764D71F-3BA4-4747-BAB1-E8348BBDF0A8}" type="parTrans" cxnId="{73C2A3D6-1A4B-49DA-A157-87963C7557CB}">
      <dgm:prSet/>
      <dgm:spPr/>
      <dgm:t>
        <a:bodyPr/>
        <a:lstStyle/>
        <a:p>
          <a:endParaRPr lang="es-ES">
            <a:latin typeface="Times New Roman" panose="02020603050405020304" pitchFamily="18" charset="0"/>
            <a:cs typeface="Times New Roman" panose="02020603050405020304" pitchFamily="18" charset="0"/>
          </a:endParaRPr>
        </a:p>
      </dgm:t>
    </dgm:pt>
    <dgm:pt modelId="{17152BFD-8C06-4802-871E-DAF67D8E3133}" type="sibTrans" cxnId="{73C2A3D6-1A4B-49DA-A157-87963C7557CB}">
      <dgm:prSet/>
      <dgm:spPr/>
      <dgm:t>
        <a:bodyPr/>
        <a:lstStyle/>
        <a:p>
          <a:endParaRPr lang="es-ES">
            <a:latin typeface="Times New Roman" panose="02020603050405020304" pitchFamily="18" charset="0"/>
            <a:cs typeface="Times New Roman" panose="02020603050405020304" pitchFamily="18" charset="0"/>
          </a:endParaRPr>
        </a:p>
      </dgm:t>
    </dgm:pt>
    <dgm:pt modelId="{E002C449-BBC7-4C0E-96B5-26DCA87D188F}">
      <dgm:prSet phldrT="[Texto]" custT="1"/>
      <dgm:spPr/>
      <dgm:t>
        <a:bodyPr/>
        <a:lstStyle/>
        <a:p>
          <a:r>
            <a:rPr lang="es-ES" sz="1000">
              <a:latin typeface="Times New Roman" panose="02020603050405020304" pitchFamily="18" charset="0"/>
              <a:cs typeface="Times New Roman" panose="02020603050405020304" pitchFamily="18" charset="0"/>
            </a:rPr>
            <a:t>Ambiente estudiantil</a:t>
          </a:r>
        </a:p>
      </dgm:t>
    </dgm:pt>
    <dgm:pt modelId="{11F0BFC0-D640-498B-8C89-0626DB3BB44C}" type="parTrans" cxnId="{07CEB83B-6302-40C5-98BD-D9A6C624C422}">
      <dgm:prSet/>
      <dgm:spPr/>
      <dgm:t>
        <a:bodyPr/>
        <a:lstStyle/>
        <a:p>
          <a:endParaRPr lang="es-ES">
            <a:latin typeface="Times New Roman" panose="02020603050405020304" pitchFamily="18" charset="0"/>
            <a:cs typeface="Times New Roman" panose="02020603050405020304" pitchFamily="18" charset="0"/>
          </a:endParaRPr>
        </a:p>
      </dgm:t>
    </dgm:pt>
    <dgm:pt modelId="{888CB6C2-38AE-4200-A8CB-18FD870F50C3}" type="sibTrans" cxnId="{07CEB83B-6302-40C5-98BD-D9A6C624C422}">
      <dgm:prSet/>
      <dgm:spPr/>
      <dgm:t>
        <a:bodyPr/>
        <a:lstStyle/>
        <a:p>
          <a:endParaRPr lang="es-ES">
            <a:latin typeface="Times New Roman" panose="02020603050405020304" pitchFamily="18" charset="0"/>
            <a:cs typeface="Times New Roman" panose="02020603050405020304" pitchFamily="18" charset="0"/>
          </a:endParaRPr>
        </a:p>
      </dgm:t>
    </dgm:pt>
    <dgm:pt modelId="{E852BD82-0B70-4984-8CAF-1ED364680FBD}">
      <dgm:prSet phldrT="[Texto]" custT="1"/>
      <dgm:spPr/>
      <dgm:t>
        <a:bodyPr/>
        <a:lstStyle/>
        <a:p>
          <a:r>
            <a:rPr lang="es-ES" sz="1000">
              <a:latin typeface="Times New Roman" panose="02020603050405020304" pitchFamily="18" charset="0"/>
              <a:cs typeface="Times New Roman" panose="02020603050405020304" pitchFamily="18" charset="0"/>
            </a:rPr>
            <a:t>Servicios institucionales.</a:t>
          </a:r>
        </a:p>
      </dgm:t>
    </dgm:pt>
    <dgm:pt modelId="{23300DE1-4340-4A25-9D70-E3262EEC8784}" type="parTrans" cxnId="{055EC1DB-88CF-45E7-B3E1-301E5647BF31}">
      <dgm:prSet/>
      <dgm:spPr/>
      <dgm:t>
        <a:bodyPr/>
        <a:lstStyle/>
        <a:p>
          <a:endParaRPr lang="es-ES">
            <a:latin typeface="Times New Roman" panose="02020603050405020304" pitchFamily="18" charset="0"/>
            <a:cs typeface="Times New Roman" panose="02020603050405020304" pitchFamily="18" charset="0"/>
          </a:endParaRPr>
        </a:p>
      </dgm:t>
    </dgm:pt>
    <dgm:pt modelId="{96A0D6F0-F380-4AF2-8EA8-C450E8153796}" type="sibTrans" cxnId="{055EC1DB-88CF-45E7-B3E1-301E5647BF31}">
      <dgm:prSet/>
      <dgm:spPr/>
      <dgm:t>
        <a:bodyPr/>
        <a:lstStyle/>
        <a:p>
          <a:endParaRPr lang="es-ES">
            <a:latin typeface="Times New Roman" panose="02020603050405020304" pitchFamily="18" charset="0"/>
            <a:cs typeface="Times New Roman" panose="02020603050405020304" pitchFamily="18" charset="0"/>
          </a:endParaRPr>
        </a:p>
      </dgm:t>
    </dgm:pt>
    <dgm:pt modelId="{570E3351-6107-43AE-90C1-AABBF7E7D9D6}">
      <dgm:prSet phldrT="[Texto]" custT="1"/>
      <dgm:spPr/>
      <dgm:t>
        <a:bodyPr/>
        <a:lstStyle/>
        <a:p>
          <a:r>
            <a:rPr lang="es-ES" sz="900">
              <a:latin typeface="Times New Roman" panose="02020603050405020304" pitchFamily="18" charset="0"/>
              <a:cs typeface="Times New Roman" panose="02020603050405020304" pitchFamily="18" charset="0"/>
            </a:rPr>
            <a:t>Dimensión pedagógica</a:t>
          </a:r>
        </a:p>
      </dgm:t>
    </dgm:pt>
    <dgm:pt modelId="{41E1314B-611C-4552-BF42-4E3DE317E536}" type="parTrans" cxnId="{5972910B-CCB1-4099-A7D2-0D784A55F8EA}">
      <dgm:prSet/>
      <dgm:spPr/>
      <dgm:t>
        <a:bodyPr/>
        <a:lstStyle/>
        <a:p>
          <a:endParaRPr lang="es-ES">
            <a:latin typeface="Times New Roman" panose="02020603050405020304" pitchFamily="18" charset="0"/>
            <a:cs typeface="Times New Roman" panose="02020603050405020304" pitchFamily="18" charset="0"/>
          </a:endParaRPr>
        </a:p>
      </dgm:t>
    </dgm:pt>
    <dgm:pt modelId="{816031EB-0651-4A79-84A3-4314B342E11E}" type="sibTrans" cxnId="{5972910B-CCB1-4099-A7D2-0D784A55F8EA}">
      <dgm:prSet/>
      <dgm:spPr/>
      <dgm:t>
        <a:bodyPr/>
        <a:lstStyle/>
        <a:p>
          <a:endParaRPr lang="es-ES">
            <a:latin typeface="Times New Roman" panose="02020603050405020304" pitchFamily="18" charset="0"/>
            <a:cs typeface="Times New Roman" panose="02020603050405020304" pitchFamily="18" charset="0"/>
          </a:endParaRPr>
        </a:p>
      </dgm:t>
    </dgm:pt>
    <dgm:pt modelId="{92838622-7D07-4A41-9975-B59D45D5DD87}">
      <dgm:prSet custT="1"/>
      <dgm:spPr/>
      <dgm:t>
        <a:bodyPr/>
        <a:lstStyle/>
        <a:p>
          <a:r>
            <a:rPr lang="es-ES" sz="900">
              <a:latin typeface="Times New Roman" panose="02020603050405020304" pitchFamily="18" charset="0"/>
              <a:cs typeface="Times New Roman" panose="02020603050405020304" pitchFamily="18" charset="0"/>
            </a:rPr>
            <a:t>Estrategias de aprendizaje,etc</a:t>
          </a:r>
          <a:r>
            <a:rPr lang="es-ES" sz="1000">
              <a:latin typeface="Times New Roman" panose="02020603050405020304" pitchFamily="18" charset="0"/>
              <a:cs typeface="Times New Roman" panose="02020603050405020304" pitchFamily="18" charset="0"/>
            </a:rPr>
            <a:t>. </a:t>
          </a:r>
        </a:p>
      </dgm:t>
    </dgm:pt>
    <dgm:pt modelId="{BFBFC378-60A3-4846-A6A8-759DD801CF2A}" type="parTrans" cxnId="{21A7A7E3-D95F-493E-9AD1-EEB1DD2F9455}">
      <dgm:prSet/>
      <dgm:spPr/>
      <dgm:t>
        <a:bodyPr/>
        <a:lstStyle/>
        <a:p>
          <a:endParaRPr lang="es-ES">
            <a:latin typeface="Times New Roman" panose="02020603050405020304" pitchFamily="18" charset="0"/>
            <a:cs typeface="Times New Roman" panose="02020603050405020304" pitchFamily="18" charset="0"/>
          </a:endParaRPr>
        </a:p>
      </dgm:t>
    </dgm:pt>
    <dgm:pt modelId="{DF88BA25-C969-4BC2-B163-1FB3BD7668FA}" type="sibTrans" cxnId="{21A7A7E3-D95F-493E-9AD1-EEB1DD2F9455}">
      <dgm:prSet/>
      <dgm:spPr/>
      <dgm:t>
        <a:bodyPr/>
        <a:lstStyle/>
        <a:p>
          <a:endParaRPr lang="es-ES">
            <a:latin typeface="Times New Roman" panose="02020603050405020304" pitchFamily="18" charset="0"/>
            <a:cs typeface="Times New Roman" panose="02020603050405020304" pitchFamily="18" charset="0"/>
          </a:endParaRPr>
        </a:p>
      </dgm:t>
    </dgm:pt>
    <dgm:pt modelId="{212771B2-D9E7-45B6-8036-4893AAD64FEC}">
      <dgm:prSet custT="1"/>
      <dgm:spPr/>
      <dgm:t>
        <a:bodyPr/>
        <a:lstStyle/>
        <a:p>
          <a:r>
            <a:rPr lang="es-ES" sz="900">
              <a:latin typeface="Times New Roman" panose="02020603050405020304" pitchFamily="18" charset="0"/>
              <a:cs typeface="Times New Roman" panose="02020603050405020304" pitchFamily="18" charset="0"/>
            </a:rPr>
            <a:t>Motivación</a:t>
          </a:r>
        </a:p>
      </dgm:t>
    </dgm:pt>
    <dgm:pt modelId="{4EE5C8FA-8540-442E-8BA4-AB86D5BA4A4C}" type="parTrans" cxnId="{D9257507-6678-4642-9A4C-D0BBA969F188}">
      <dgm:prSet/>
      <dgm:spPr/>
      <dgm:t>
        <a:bodyPr/>
        <a:lstStyle/>
        <a:p>
          <a:endParaRPr lang="es-ES">
            <a:latin typeface="Times New Roman" panose="02020603050405020304" pitchFamily="18" charset="0"/>
            <a:cs typeface="Times New Roman" panose="02020603050405020304" pitchFamily="18" charset="0"/>
          </a:endParaRPr>
        </a:p>
      </dgm:t>
    </dgm:pt>
    <dgm:pt modelId="{8108D018-140D-4F86-93D1-B4F729CD0CE8}" type="sibTrans" cxnId="{D9257507-6678-4642-9A4C-D0BBA969F188}">
      <dgm:prSet/>
      <dgm:spPr/>
      <dgm:t>
        <a:bodyPr/>
        <a:lstStyle/>
        <a:p>
          <a:endParaRPr lang="es-ES">
            <a:latin typeface="Times New Roman" panose="02020603050405020304" pitchFamily="18" charset="0"/>
            <a:cs typeface="Times New Roman" panose="02020603050405020304" pitchFamily="18" charset="0"/>
          </a:endParaRPr>
        </a:p>
      </dgm:t>
    </dgm:pt>
    <dgm:pt modelId="{0E6A6A99-3D58-43B6-B1BE-E205A8156616}">
      <dgm:prSet phldrT="[Texto]" custT="1"/>
      <dgm:spPr/>
      <dgm:t>
        <a:bodyPr/>
        <a:lstStyle/>
        <a:p>
          <a:r>
            <a:rPr lang="es-ES" sz="900">
              <a:latin typeface="Times New Roman" panose="02020603050405020304" pitchFamily="18" charset="0"/>
              <a:cs typeface="Times New Roman" panose="02020603050405020304" pitchFamily="18" charset="0"/>
            </a:rPr>
            <a:t>Dimensión psicológica</a:t>
          </a:r>
        </a:p>
      </dgm:t>
    </dgm:pt>
    <dgm:pt modelId="{5D02CFB6-7154-4F98-938D-3DA8BDF481AF}" type="parTrans" cxnId="{43639138-7A3A-4D60-A87E-278A81CD2911}">
      <dgm:prSet/>
      <dgm:spPr/>
      <dgm:t>
        <a:bodyPr/>
        <a:lstStyle/>
        <a:p>
          <a:endParaRPr lang="es-ES">
            <a:latin typeface="Times New Roman" panose="02020603050405020304" pitchFamily="18" charset="0"/>
            <a:cs typeface="Times New Roman" panose="02020603050405020304" pitchFamily="18" charset="0"/>
          </a:endParaRPr>
        </a:p>
      </dgm:t>
    </dgm:pt>
    <dgm:pt modelId="{4A035A05-ED60-4806-B7AF-CB2772BB8C3F}" type="sibTrans" cxnId="{43639138-7A3A-4D60-A87E-278A81CD2911}">
      <dgm:prSet/>
      <dgm:spPr/>
      <dgm:t>
        <a:bodyPr/>
        <a:lstStyle/>
        <a:p>
          <a:endParaRPr lang="es-ES">
            <a:latin typeface="Times New Roman" panose="02020603050405020304" pitchFamily="18" charset="0"/>
            <a:cs typeface="Times New Roman" panose="02020603050405020304" pitchFamily="18" charset="0"/>
          </a:endParaRPr>
        </a:p>
      </dgm:t>
    </dgm:pt>
    <dgm:pt modelId="{FA3BF7C9-B8DE-41B9-886C-404BAF350990}" type="pres">
      <dgm:prSet presAssocID="{AD9B7F26-7523-4ADB-8130-E72B6C62BB8E}" presName="Name0" presStyleCnt="0">
        <dgm:presLayoutVars>
          <dgm:dir/>
          <dgm:resizeHandles val="exact"/>
        </dgm:presLayoutVars>
      </dgm:prSet>
      <dgm:spPr/>
      <dgm:t>
        <a:bodyPr/>
        <a:lstStyle/>
        <a:p>
          <a:endParaRPr lang="es-ES"/>
        </a:p>
      </dgm:t>
    </dgm:pt>
    <dgm:pt modelId="{757CE514-2BA0-4618-B75E-E3CC4F6EFA63}" type="pres">
      <dgm:prSet presAssocID="{0E6A6A99-3D58-43B6-B1BE-E205A8156616}" presName="node" presStyleLbl="node1" presStyleIdx="0" presStyleCnt="4">
        <dgm:presLayoutVars>
          <dgm:bulletEnabled val="1"/>
        </dgm:presLayoutVars>
      </dgm:prSet>
      <dgm:spPr/>
      <dgm:t>
        <a:bodyPr/>
        <a:lstStyle/>
        <a:p>
          <a:endParaRPr lang="es-ES"/>
        </a:p>
      </dgm:t>
    </dgm:pt>
    <dgm:pt modelId="{FB3EA279-2B60-4A0E-8F94-80F6F5AA5440}" type="pres">
      <dgm:prSet presAssocID="{4A035A05-ED60-4806-B7AF-CB2772BB8C3F}" presName="sibTrans" presStyleCnt="0"/>
      <dgm:spPr/>
    </dgm:pt>
    <dgm:pt modelId="{EBB830AA-4175-457B-A38B-61271E764CE2}" type="pres">
      <dgm:prSet presAssocID="{570E3351-6107-43AE-90C1-AABBF7E7D9D6}" presName="node" presStyleLbl="node1" presStyleIdx="1" presStyleCnt="4">
        <dgm:presLayoutVars>
          <dgm:bulletEnabled val="1"/>
        </dgm:presLayoutVars>
      </dgm:prSet>
      <dgm:spPr/>
      <dgm:t>
        <a:bodyPr/>
        <a:lstStyle/>
        <a:p>
          <a:endParaRPr lang="es-ES"/>
        </a:p>
      </dgm:t>
    </dgm:pt>
    <dgm:pt modelId="{086D8AAA-C348-4231-A8DB-3519DA06D6AF}" type="pres">
      <dgm:prSet presAssocID="{816031EB-0651-4A79-84A3-4314B342E11E}" presName="sibTrans" presStyleCnt="0"/>
      <dgm:spPr/>
    </dgm:pt>
    <dgm:pt modelId="{FCAFBDAA-96FD-4E88-86F8-194DB7042F8E}" type="pres">
      <dgm:prSet presAssocID="{B08BA978-99E2-44A0-87E3-85C309271235}" presName="node" presStyleLbl="node1" presStyleIdx="2" presStyleCnt="4">
        <dgm:presLayoutVars>
          <dgm:bulletEnabled val="1"/>
        </dgm:presLayoutVars>
      </dgm:prSet>
      <dgm:spPr/>
      <dgm:t>
        <a:bodyPr/>
        <a:lstStyle/>
        <a:p>
          <a:endParaRPr lang="es-ES"/>
        </a:p>
      </dgm:t>
    </dgm:pt>
    <dgm:pt modelId="{64CD590D-E1A4-4829-8D01-541EE86866DD}" type="pres">
      <dgm:prSet presAssocID="{4473350D-AE03-4728-ADA9-4D8DDB44F64A}" presName="sibTrans" presStyleCnt="0"/>
      <dgm:spPr/>
    </dgm:pt>
    <dgm:pt modelId="{DEFA8FC2-A183-47F9-B113-8049D08B2020}" type="pres">
      <dgm:prSet presAssocID="{437D16C9-2C01-4127-BFB7-42D1BB807998}" presName="node" presStyleLbl="node1" presStyleIdx="3" presStyleCnt="4">
        <dgm:presLayoutVars>
          <dgm:bulletEnabled val="1"/>
        </dgm:presLayoutVars>
      </dgm:prSet>
      <dgm:spPr/>
      <dgm:t>
        <a:bodyPr/>
        <a:lstStyle/>
        <a:p>
          <a:endParaRPr lang="es-ES"/>
        </a:p>
      </dgm:t>
    </dgm:pt>
  </dgm:ptLst>
  <dgm:cxnLst>
    <dgm:cxn modelId="{73C2A3D6-1A4B-49DA-A157-87963C7557CB}" srcId="{AD9B7F26-7523-4ADB-8130-E72B6C62BB8E}" destId="{437D16C9-2C01-4127-BFB7-42D1BB807998}" srcOrd="3" destOrd="0" parTransId="{1764D71F-3BA4-4747-BAB1-E8348BBDF0A8}" sibTransId="{17152BFD-8C06-4802-871E-DAF67D8E3133}"/>
    <dgm:cxn modelId="{CA19D795-59FB-4B55-BD50-6DE958FB9A31}" srcId="{570E3351-6107-43AE-90C1-AABBF7E7D9D6}" destId="{F22BCBC9-33E6-46D1-9DF2-8A337D80A5E5}" srcOrd="1" destOrd="0" parTransId="{F8C7156F-27DF-4694-8960-6632E085B07D}" sibTransId="{043E5817-CC9E-43EC-B326-5D83AC035722}"/>
    <dgm:cxn modelId="{141C9CC5-4577-4C09-ACF6-670090B03546}" type="presOf" srcId="{B08BA978-99E2-44A0-87E3-85C309271235}" destId="{FCAFBDAA-96FD-4E88-86F8-194DB7042F8E}" srcOrd="0" destOrd="0" presId="urn:microsoft.com/office/officeart/2005/8/layout/hList6"/>
    <dgm:cxn modelId="{3B11D7F2-DA89-4573-97EC-AB1CA251BA77}" type="presOf" srcId="{570E3351-6107-43AE-90C1-AABBF7E7D9D6}" destId="{EBB830AA-4175-457B-A38B-61271E764CE2}" srcOrd="0" destOrd="0" presId="urn:microsoft.com/office/officeart/2005/8/layout/hList6"/>
    <dgm:cxn modelId="{26BAEDAF-F37E-4550-9A42-3DD17152E5F9}" type="presOf" srcId="{437D16C9-2C01-4127-BFB7-42D1BB807998}" destId="{DEFA8FC2-A183-47F9-B113-8049D08B2020}" srcOrd="0" destOrd="0" presId="urn:microsoft.com/office/officeart/2005/8/layout/hList6"/>
    <dgm:cxn modelId="{43639138-7A3A-4D60-A87E-278A81CD2911}" srcId="{AD9B7F26-7523-4ADB-8130-E72B6C62BB8E}" destId="{0E6A6A99-3D58-43B6-B1BE-E205A8156616}" srcOrd="0" destOrd="0" parTransId="{5D02CFB6-7154-4F98-938D-3DA8BDF481AF}" sibTransId="{4A035A05-ED60-4806-B7AF-CB2772BB8C3F}"/>
    <dgm:cxn modelId="{3EB6E41D-4219-4827-A229-4AA2A7E35F4D}" type="presOf" srcId="{02E5E95A-8874-4B18-898E-241780654A69}" destId="{EBB830AA-4175-457B-A38B-61271E764CE2}" srcOrd="0" destOrd="1" presId="urn:microsoft.com/office/officeart/2005/8/layout/hList6"/>
    <dgm:cxn modelId="{624F0E59-579F-4520-BDE3-533B40318DC1}" type="presOf" srcId="{7C9BB8A8-C3E7-4C6A-B850-C68889A2692F}" destId="{FCAFBDAA-96FD-4E88-86F8-194DB7042F8E}" srcOrd="0" destOrd="2" presId="urn:microsoft.com/office/officeart/2005/8/layout/hList6"/>
    <dgm:cxn modelId="{5972910B-CCB1-4099-A7D2-0D784A55F8EA}" srcId="{AD9B7F26-7523-4ADB-8130-E72B6C62BB8E}" destId="{570E3351-6107-43AE-90C1-AABBF7E7D9D6}" srcOrd="1" destOrd="0" parTransId="{41E1314B-611C-4552-BF42-4E3DE317E536}" sibTransId="{816031EB-0651-4A79-84A3-4314B342E11E}"/>
    <dgm:cxn modelId="{A7447E32-8A16-4C3E-9A72-99B087F007D6}" type="presOf" srcId="{CAF27A83-ABAA-4CDC-B1C8-285960714E22}" destId="{FCAFBDAA-96FD-4E88-86F8-194DB7042F8E}" srcOrd="0" destOrd="1" presId="urn:microsoft.com/office/officeart/2005/8/layout/hList6"/>
    <dgm:cxn modelId="{F9065A6D-D286-4943-9BD1-C4ABB15A5C78}" srcId="{570E3351-6107-43AE-90C1-AABBF7E7D9D6}" destId="{02E5E95A-8874-4B18-898E-241780654A69}" srcOrd="0" destOrd="0" parTransId="{FD799E39-AD6C-4B6A-99CE-615FD710C240}" sibTransId="{B39BA7D0-1E8C-42FD-80BB-4EF4F9452A92}"/>
    <dgm:cxn modelId="{0C8874C5-3D21-4629-A223-C986D67C7624}" type="presOf" srcId="{F22BCBC9-33E6-46D1-9DF2-8A337D80A5E5}" destId="{EBB830AA-4175-457B-A38B-61271E764CE2}" srcOrd="0" destOrd="2" presId="urn:microsoft.com/office/officeart/2005/8/layout/hList6"/>
    <dgm:cxn modelId="{ADB08398-6076-46CC-8B1F-B32DA1B1C143}" srcId="{B08BA978-99E2-44A0-87E3-85C309271235}" destId="{CAF27A83-ABAA-4CDC-B1C8-285960714E22}" srcOrd="0" destOrd="0" parTransId="{7939A863-A722-4404-9BC3-37EF1E4FC7A0}" sibTransId="{1ED80743-C2A7-49AA-90DA-0BBA0ECD0226}"/>
    <dgm:cxn modelId="{D8BFBB77-BE02-4CF5-80B2-5C17C376FEC3}" type="presOf" srcId="{92838622-7D07-4A41-9975-B59D45D5DD87}" destId="{757CE514-2BA0-4618-B75E-E3CC4F6EFA63}" srcOrd="0" destOrd="2" presId="urn:microsoft.com/office/officeart/2005/8/layout/hList6"/>
    <dgm:cxn modelId="{07CEB83B-6302-40C5-98BD-D9A6C624C422}" srcId="{437D16C9-2C01-4127-BFB7-42D1BB807998}" destId="{E002C449-BBC7-4C0E-96B5-26DCA87D188F}" srcOrd="0" destOrd="0" parTransId="{11F0BFC0-D640-498B-8C89-0626DB3BB44C}" sibTransId="{888CB6C2-38AE-4200-A8CB-18FD870F50C3}"/>
    <dgm:cxn modelId="{03430082-71E0-4C55-A1F8-1A777247DC5D}" srcId="{AD9B7F26-7523-4ADB-8130-E72B6C62BB8E}" destId="{B08BA978-99E2-44A0-87E3-85C309271235}" srcOrd="2" destOrd="0" parTransId="{486E8F1B-6326-4BBD-920D-A0627652A7F5}" sibTransId="{4473350D-AE03-4728-ADA9-4D8DDB44F64A}"/>
    <dgm:cxn modelId="{2C88E526-FC46-4AED-8EA1-82CD9463BAC2}" srcId="{B08BA978-99E2-44A0-87E3-85C309271235}" destId="{7C9BB8A8-C3E7-4C6A-B850-C68889A2692F}" srcOrd="1" destOrd="0" parTransId="{B85D4E55-E2B8-4836-B393-6075CDFDAAC6}" sibTransId="{A7506036-FEDE-4E93-829F-E2456B9D102B}"/>
    <dgm:cxn modelId="{D9257507-6678-4642-9A4C-D0BBA969F188}" srcId="{0E6A6A99-3D58-43B6-B1BE-E205A8156616}" destId="{212771B2-D9E7-45B6-8036-4893AAD64FEC}" srcOrd="0" destOrd="0" parTransId="{4EE5C8FA-8540-442E-8BA4-AB86D5BA4A4C}" sibTransId="{8108D018-140D-4F86-93D1-B4F729CD0CE8}"/>
    <dgm:cxn modelId="{F1FE3CA4-6B00-46B1-9B47-348BB393D8A2}" type="presOf" srcId="{0E6A6A99-3D58-43B6-B1BE-E205A8156616}" destId="{757CE514-2BA0-4618-B75E-E3CC4F6EFA63}" srcOrd="0" destOrd="0" presId="urn:microsoft.com/office/officeart/2005/8/layout/hList6"/>
    <dgm:cxn modelId="{AF447B79-2D2B-4B92-849A-29CD348502F9}" type="presOf" srcId="{E002C449-BBC7-4C0E-96B5-26DCA87D188F}" destId="{DEFA8FC2-A183-47F9-B113-8049D08B2020}" srcOrd="0" destOrd="1" presId="urn:microsoft.com/office/officeart/2005/8/layout/hList6"/>
    <dgm:cxn modelId="{45D4595D-CF31-44B8-8D51-895DDF226102}" type="presOf" srcId="{212771B2-D9E7-45B6-8036-4893AAD64FEC}" destId="{757CE514-2BA0-4618-B75E-E3CC4F6EFA63}" srcOrd="0" destOrd="1" presId="urn:microsoft.com/office/officeart/2005/8/layout/hList6"/>
    <dgm:cxn modelId="{21A7A7E3-D95F-493E-9AD1-EEB1DD2F9455}" srcId="{0E6A6A99-3D58-43B6-B1BE-E205A8156616}" destId="{92838622-7D07-4A41-9975-B59D45D5DD87}" srcOrd="1" destOrd="0" parTransId="{BFBFC378-60A3-4846-A6A8-759DD801CF2A}" sibTransId="{DF88BA25-C969-4BC2-B163-1FB3BD7668FA}"/>
    <dgm:cxn modelId="{055EC1DB-88CF-45E7-B3E1-301E5647BF31}" srcId="{437D16C9-2C01-4127-BFB7-42D1BB807998}" destId="{E852BD82-0B70-4984-8CAF-1ED364680FBD}" srcOrd="1" destOrd="0" parTransId="{23300DE1-4340-4A25-9D70-E3262EEC8784}" sibTransId="{96A0D6F0-F380-4AF2-8EA8-C450E8153796}"/>
    <dgm:cxn modelId="{0158C962-87BA-4F5C-90F3-A92CC4D27A0E}" type="presOf" srcId="{AD9B7F26-7523-4ADB-8130-E72B6C62BB8E}" destId="{FA3BF7C9-B8DE-41B9-886C-404BAF350990}" srcOrd="0" destOrd="0" presId="urn:microsoft.com/office/officeart/2005/8/layout/hList6"/>
    <dgm:cxn modelId="{FEAC3F31-3E97-4AA7-A7B8-301D1B6FE32F}" type="presOf" srcId="{E852BD82-0B70-4984-8CAF-1ED364680FBD}" destId="{DEFA8FC2-A183-47F9-B113-8049D08B2020}" srcOrd="0" destOrd="2" presId="urn:microsoft.com/office/officeart/2005/8/layout/hList6"/>
    <dgm:cxn modelId="{0C8191CD-25C2-4F38-9DE7-AFE70BFAE557}" type="presParOf" srcId="{FA3BF7C9-B8DE-41B9-886C-404BAF350990}" destId="{757CE514-2BA0-4618-B75E-E3CC4F6EFA63}" srcOrd="0" destOrd="0" presId="urn:microsoft.com/office/officeart/2005/8/layout/hList6"/>
    <dgm:cxn modelId="{273A310D-5581-45E3-95A0-A541DE0C1A23}" type="presParOf" srcId="{FA3BF7C9-B8DE-41B9-886C-404BAF350990}" destId="{FB3EA279-2B60-4A0E-8F94-80F6F5AA5440}" srcOrd="1" destOrd="0" presId="urn:microsoft.com/office/officeart/2005/8/layout/hList6"/>
    <dgm:cxn modelId="{B7B109E2-4F11-4A5E-BA81-F52E8A027731}" type="presParOf" srcId="{FA3BF7C9-B8DE-41B9-886C-404BAF350990}" destId="{EBB830AA-4175-457B-A38B-61271E764CE2}" srcOrd="2" destOrd="0" presId="urn:microsoft.com/office/officeart/2005/8/layout/hList6"/>
    <dgm:cxn modelId="{027E0395-09DE-4A1E-8132-9D12D31BE4ED}" type="presParOf" srcId="{FA3BF7C9-B8DE-41B9-886C-404BAF350990}" destId="{086D8AAA-C348-4231-A8DB-3519DA06D6AF}" srcOrd="3" destOrd="0" presId="urn:microsoft.com/office/officeart/2005/8/layout/hList6"/>
    <dgm:cxn modelId="{E039C5DD-4244-47F0-873F-13E6178905E0}" type="presParOf" srcId="{FA3BF7C9-B8DE-41B9-886C-404BAF350990}" destId="{FCAFBDAA-96FD-4E88-86F8-194DB7042F8E}" srcOrd="4" destOrd="0" presId="urn:microsoft.com/office/officeart/2005/8/layout/hList6"/>
    <dgm:cxn modelId="{0931DDAD-8C43-411F-9124-C6522D0925DB}" type="presParOf" srcId="{FA3BF7C9-B8DE-41B9-886C-404BAF350990}" destId="{64CD590D-E1A4-4829-8D01-541EE86866DD}" srcOrd="5" destOrd="0" presId="urn:microsoft.com/office/officeart/2005/8/layout/hList6"/>
    <dgm:cxn modelId="{44D9B2A9-F16A-40ED-9D32-CD8413339BAD}" type="presParOf" srcId="{FA3BF7C9-B8DE-41B9-886C-404BAF350990}" destId="{DEFA8FC2-A183-47F9-B113-8049D08B2020}" srcOrd="6" destOrd="0" presId="urn:microsoft.com/office/officeart/2005/8/layout/hList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B25652-5102-41C6-84D1-78121114210A}">
      <dsp:nvSpPr>
        <dsp:cNvPr id="0" name=""/>
        <dsp:cNvSpPr/>
      </dsp:nvSpPr>
      <dsp:spPr>
        <a:xfrm>
          <a:off x="830913" y="752728"/>
          <a:ext cx="614648" cy="61464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t>Rendimiento académico inmediato</a:t>
          </a:r>
        </a:p>
      </dsp:txBody>
      <dsp:txXfrm>
        <a:off x="920926" y="842741"/>
        <a:ext cx="434622" cy="434622"/>
      </dsp:txXfrm>
    </dsp:sp>
    <dsp:sp modelId="{178597F5-D726-457F-A7CE-1E63DC0FC738}">
      <dsp:nvSpPr>
        <dsp:cNvPr id="0" name=""/>
        <dsp:cNvSpPr/>
      </dsp:nvSpPr>
      <dsp:spPr>
        <a:xfrm rot="11700000">
          <a:off x="283188" y="815319"/>
          <a:ext cx="537150" cy="175174"/>
        </a:xfrm>
        <a:prstGeom prst="lef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4F674B2-7D4F-4400-B4FB-00E809B5F152}">
      <dsp:nvSpPr>
        <dsp:cNvPr id="0" name=""/>
        <dsp:cNvSpPr/>
      </dsp:nvSpPr>
      <dsp:spPr>
        <a:xfrm>
          <a:off x="382" y="599828"/>
          <a:ext cx="583915" cy="46713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s-ES" sz="800" kern="1200"/>
            <a:t>Dimensión socio- económica</a:t>
          </a:r>
        </a:p>
      </dsp:txBody>
      <dsp:txXfrm>
        <a:off x="14064" y="613510"/>
        <a:ext cx="556551" cy="439768"/>
      </dsp:txXfrm>
    </dsp:sp>
    <dsp:sp modelId="{BB75936E-094F-43D1-A748-37A950CD1050}">
      <dsp:nvSpPr>
        <dsp:cNvPr id="0" name=""/>
        <dsp:cNvSpPr/>
      </dsp:nvSpPr>
      <dsp:spPr>
        <a:xfrm rot="14700000">
          <a:off x="613064" y="422189"/>
          <a:ext cx="537150" cy="175174"/>
        </a:xfrm>
        <a:prstGeom prst="lef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1D8933E-5E1F-4B8A-B446-AD54ACEE89AB}">
      <dsp:nvSpPr>
        <dsp:cNvPr id="0" name=""/>
        <dsp:cNvSpPr/>
      </dsp:nvSpPr>
      <dsp:spPr>
        <a:xfrm>
          <a:off x="476177" y="32798"/>
          <a:ext cx="583915" cy="467132"/>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s-ES" sz="800" kern="1200"/>
            <a:t>Dimensión</a:t>
          </a:r>
        </a:p>
        <a:p>
          <a:pPr lvl="0" algn="ctr" defTabSz="355600">
            <a:lnSpc>
              <a:spcPct val="90000"/>
            </a:lnSpc>
            <a:spcBef>
              <a:spcPct val="0"/>
            </a:spcBef>
            <a:spcAft>
              <a:spcPct val="35000"/>
            </a:spcAft>
          </a:pPr>
          <a:r>
            <a:rPr lang="es-ES" sz="800" kern="1200"/>
            <a:t>institucional</a:t>
          </a:r>
        </a:p>
      </dsp:txBody>
      <dsp:txXfrm>
        <a:off x="489859" y="46480"/>
        <a:ext cx="556551" cy="439768"/>
      </dsp:txXfrm>
    </dsp:sp>
    <dsp:sp modelId="{B60EF8EB-67B7-460E-BB8F-F1F404DFF65A}">
      <dsp:nvSpPr>
        <dsp:cNvPr id="0" name=""/>
        <dsp:cNvSpPr/>
      </dsp:nvSpPr>
      <dsp:spPr>
        <a:xfrm rot="17700000">
          <a:off x="1126260" y="422189"/>
          <a:ext cx="537150" cy="175174"/>
        </a:xfrm>
        <a:prstGeom prst="lef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759F7AB-E711-4FC9-84CE-86DF9EFB1931}">
      <dsp:nvSpPr>
        <dsp:cNvPr id="0" name=""/>
        <dsp:cNvSpPr/>
      </dsp:nvSpPr>
      <dsp:spPr>
        <a:xfrm>
          <a:off x="1216382" y="32798"/>
          <a:ext cx="583915" cy="467132"/>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s-ES" sz="800" kern="1200"/>
            <a:t>Dimensión psicológica</a:t>
          </a:r>
        </a:p>
      </dsp:txBody>
      <dsp:txXfrm>
        <a:off x="1230064" y="46480"/>
        <a:ext cx="556551" cy="439768"/>
      </dsp:txXfrm>
    </dsp:sp>
    <dsp:sp modelId="{5AE83A8C-2D91-4C4B-BA7C-0497DE4230F2}">
      <dsp:nvSpPr>
        <dsp:cNvPr id="0" name=""/>
        <dsp:cNvSpPr/>
      </dsp:nvSpPr>
      <dsp:spPr>
        <a:xfrm rot="20700000">
          <a:off x="1456135" y="815319"/>
          <a:ext cx="537150" cy="175174"/>
        </a:xfrm>
        <a:prstGeom prst="lef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F7B6161-85F0-4B2B-8E8A-31F0DFEA8600}">
      <dsp:nvSpPr>
        <dsp:cNvPr id="0" name=""/>
        <dsp:cNvSpPr/>
      </dsp:nvSpPr>
      <dsp:spPr>
        <a:xfrm>
          <a:off x="1692176" y="599828"/>
          <a:ext cx="583915" cy="467132"/>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s-ES" sz="800" kern="1200"/>
            <a:t>Dimensión pedagógicas</a:t>
          </a:r>
        </a:p>
      </dsp:txBody>
      <dsp:txXfrm>
        <a:off x="1705858" y="613510"/>
        <a:ext cx="556551" cy="4397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CE514-2BA0-4618-B75E-E3CC4F6EFA63}">
      <dsp:nvSpPr>
        <dsp:cNvPr id="0" name=""/>
        <dsp:cNvSpPr/>
      </dsp:nvSpPr>
      <dsp:spPr>
        <a:xfrm rot="16200000">
          <a:off x="-723840" y="724506"/>
          <a:ext cx="2102485" cy="653471"/>
        </a:xfrm>
        <a:prstGeom prst="flowChartManualOperati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t" anchorCtr="0">
          <a:noAutofit/>
        </a:bodyPr>
        <a:lstStyle/>
        <a:p>
          <a:pPr lvl="0" algn="l" defTabSz="400050">
            <a:lnSpc>
              <a:spcPct val="90000"/>
            </a:lnSpc>
            <a:spcBef>
              <a:spcPct val="0"/>
            </a:spcBef>
            <a:spcAft>
              <a:spcPct val="35000"/>
            </a:spcAft>
          </a:pPr>
          <a:r>
            <a:rPr lang="es-ES" sz="900" kern="1200">
              <a:latin typeface="Times New Roman" panose="02020603050405020304" pitchFamily="18" charset="0"/>
              <a:cs typeface="Times New Roman" panose="02020603050405020304" pitchFamily="18" charset="0"/>
            </a:rPr>
            <a:t>Dimensión psicológica</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Motivación</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Estrategias de aprendizaje,etc</a:t>
          </a:r>
          <a:r>
            <a:rPr lang="es-ES" sz="1000" kern="1200">
              <a:latin typeface="Times New Roman" panose="02020603050405020304" pitchFamily="18" charset="0"/>
              <a:cs typeface="Times New Roman" panose="02020603050405020304" pitchFamily="18" charset="0"/>
            </a:rPr>
            <a:t>. </a:t>
          </a:r>
        </a:p>
      </dsp:txBody>
      <dsp:txXfrm rot="5400000">
        <a:off x="667" y="420496"/>
        <a:ext cx="653471" cy="1261491"/>
      </dsp:txXfrm>
    </dsp:sp>
    <dsp:sp modelId="{EBB830AA-4175-457B-A38B-61271E764CE2}">
      <dsp:nvSpPr>
        <dsp:cNvPr id="0" name=""/>
        <dsp:cNvSpPr/>
      </dsp:nvSpPr>
      <dsp:spPr>
        <a:xfrm rot="16200000">
          <a:off x="-21358" y="724506"/>
          <a:ext cx="2102485" cy="653471"/>
        </a:xfrm>
        <a:prstGeom prst="flowChartManualOperati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t" anchorCtr="0">
          <a:noAutofit/>
        </a:bodyPr>
        <a:lstStyle/>
        <a:p>
          <a:pPr lvl="0" algn="l" defTabSz="400050">
            <a:lnSpc>
              <a:spcPct val="90000"/>
            </a:lnSpc>
            <a:spcBef>
              <a:spcPct val="0"/>
            </a:spcBef>
            <a:spcAft>
              <a:spcPct val="35000"/>
            </a:spcAft>
          </a:pPr>
          <a:r>
            <a:rPr lang="es-ES" sz="900" kern="1200">
              <a:latin typeface="Times New Roman" panose="02020603050405020304" pitchFamily="18" charset="0"/>
              <a:cs typeface="Times New Roman" panose="02020603050405020304" pitchFamily="18" charset="0"/>
            </a:rPr>
            <a:t>Dimensión pedagógica</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Relación estudiante-profesor</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Ro</a:t>
          </a:r>
        </a:p>
      </dsp:txBody>
      <dsp:txXfrm rot="5400000">
        <a:off x="703149" y="420496"/>
        <a:ext cx="653471" cy="1261491"/>
      </dsp:txXfrm>
    </dsp:sp>
    <dsp:sp modelId="{FCAFBDAA-96FD-4E88-86F8-194DB7042F8E}">
      <dsp:nvSpPr>
        <dsp:cNvPr id="0" name=""/>
        <dsp:cNvSpPr/>
      </dsp:nvSpPr>
      <dsp:spPr>
        <a:xfrm rot="16200000">
          <a:off x="681123" y="724506"/>
          <a:ext cx="2102485" cy="653471"/>
        </a:xfrm>
        <a:prstGeom prst="flowChartManualOperati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t" anchorCtr="0">
          <a:noAutofit/>
        </a:bodyPr>
        <a:lstStyle/>
        <a:p>
          <a:pPr lvl="0" algn="l" defTabSz="400050">
            <a:lnSpc>
              <a:spcPct val="90000"/>
            </a:lnSpc>
            <a:spcBef>
              <a:spcPct val="0"/>
            </a:spcBef>
            <a:spcAft>
              <a:spcPct val="35000"/>
            </a:spcAft>
          </a:pPr>
          <a:r>
            <a:rPr lang="es-ES" sz="900" kern="1200">
              <a:latin typeface="Times New Roman" panose="02020603050405020304" pitchFamily="18" charset="0"/>
              <a:cs typeface="Times New Roman" panose="02020603050405020304" pitchFamily="18" charset="0"/>
            </a:rPr>
            <a:t>Dimensión socio familiar</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Ingresos </a:t>
          </a:r>
        </a:p>
        <a:p>
          <a:pPr marL="57150" lvl="1" indent="-57150" algn="l" defTabSz="400050">
            <a:lnSpc>
              <a:spcPct val="90000"/>
            </a:lnSpc>
            <a:spcBef>
              <a:spcPct val="0"/>
            </a:spcBef>
            <a:spcAft>
              <a:spcPct val="15000"/>
            </a:spcAft>
            <a:buChar char="••"/>
          </a:pPr>
          <a:r>
            <a:rPr lang="es-ES" sz="900" kern="1200">
              <a:latin typeface="Times New Roman" panose="02020603050405020304" pitchFamily="18" charset="0"/>
              <a:cs typeface="Times New Roman" panose="02020603050405020304" pitchFamily="18" charset="0"/>
            </a:rPr>
            <a:t>Apoyo familiar</a:t>
          </a:r>
        </a:p>
      </dsp:txBody>
      <dsp:txXfrm rot="5400000">
        <a:off x="1405630" y="420496"/>
        <a:ext cx="653471" cy="1261491"/>
      </dsp:txXfrm>
    </dsp:sp>
    <dsp:sp modelId="{DEFA8FC2-A183-47F9-B113-8049D08B2020}">
      <dsp:nvSpPr>
        <dsp:cNvPr id="0" name=""/>
        <dsp:cNvSpPr/>
      </dsp:nvSpPr>
      <dsp:spPr>
        <a:xfrm rot="16200000">
          <a:off x="1383605" y="724506"/>
          <a:ext cx="2102485" cy="653471"/>
        </a:xfrm>
        <a:prstGeom prst="flowChartManualOperati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t" anchorCtr="0">
          <a:noAutofit/>
        </a:bodyPr>
        <a:lstStyle/>
        <a:p>
          <a:pPr lvl="0" algn="l" defTabSz="444500">
            <a:lnSpc>
              <a:spcPct val="90000"/>
            </a:lnSpc>
            <a:spcBef>
              <a:spcPct val="0"/>
            </a:spcBef>
            <a:spcAft>
              <a:spcPct val="35000"/>
            </a:spcAft>
          </a:pPr>
          <a:r>
            <a:rPr lang="es-ES" sz="1000" kern="1200">
              <a:latin typeface="Times New Roman" panose="02020603050405020304" pitchFamily="18" charset="0"/>
              <a:cs typeface="Times New Roman" panose="02020603050405020304" pitchFamily="18" charset="0"/>
            </a:rPr>
            <a:t>Dimensión institucional</a:t>
          </a:r>
        </a:p>
        <a:p>
          <a:pPr marL="57150" lvl="1" indent="-57150" algn="l" defTabSz="444500">
            <a:lnSpc>
              <a:spcPct val="90000"/>
            </a:lnSpc>
            <a:spcBef>
              <a:spcPct val="0"/>
            </a:spcBef>
            <a:spcAft>
              <a:spcPct val="15000"/>
            </a:spcAft>
            <a:buChar char="••"/>
          </a:pPr>
          <a:r>
            <a:rPr lang="es-ES" sz="1000" kern="1200">
              <a:latin typeface="Times New Roman" panose="02020603050405020304" pitchFamily="18" charset="0"/>
              <a:cs typeface="Times New Roman" panose="02020603050405020304" pitchFamily="18" charset="0"/>
            </a:rPr>
            <a:t>Ambiente estudiantil</a:t>
          </a:r>
        </a:p>
        <a:p>
          <a:pPr marL="57150" lvl="1" indent="-57150" algn="l" defTabSz="444500">
            <a:lnSpc>
              <a:spcPct val="90000"/>
            </a:lnSpc>
            <a:spcBef>
              <a:spcPct val="0"/>
            </a:spcBef>
            <a:spcAft>
              <a:spcPct val="15000"/>
            </a:spcAft>
            <a:buChar char="••"/>
          </a:pPr>
          <a:r>
            <a:rPr lang="es-ES" sz="1000" kern="1200">
              <a:latin typeface="Times New Roman" panose="02020603050405020304" pitchFamily="18" charset="0"/>
              <a:cs typeface="Times New Roman" panose="02020603050405020304" pitchFamily="18" charset="0"/>
            </a:rPr>
            <a:t>Servicios institucionales.</a:t>
          </a:r>
        </a:p>
      </dsp:txBody>
      <dsp:txXfrm rot="5400000">
        <a:off x="2108112" y="420496"/>
        <a:ext cx="653471" cy="126149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CEA18</b:Tag>
    <b:SourceType>Report</b:SourceType>
    <b:Guid>{63842554-CAD5-4A7E-8C18-D2D76BF4E451}</b:Guid>
    <b:Title>Modelo de Evaluación Institucional de Universidades y Escuelas Politécnicas 2018</b:Title>
    <b:Year>2018</b:Year>
    <b:Publisher>CEAACES</b:Publisher>
    <b:Author>
      <b:Author>
        <b:Corporate>CEAACES</b:Corporate>
      </b:Author>
    </b:Author>
    <b:RefOrder>1</b:RefOrder>
  </b:Source>
  <b:Source>
    <b:Tag>CEA17</b:Tag>
    <b:SourceType>Report</b:SourceType>
    <b:Guid>{C3F645AB-99E5-4220-931F-BA0CCC9D945A}</b:Guid>
    <b:Author>
      <b:Author>
        <b:Corporate>CEAACES</b:Corporate>
      </b:Author>
    </b:Author>
    <b:Title>MODELO GENÉRICO DE EVALUACIÓN DEL ENTORNO DE APRENDIZAJE DE CARRERAS EN ECUADOR</b:Title>
    <b:Year>2017</b:Year>
    <b:City>Quito</b:City>
    <b:RefOrder>2</b:RefOrder>
  </b:Source>
  <b:Source>
    <b:Tag>Aya18</b:Tag>
    <b:SourceType>JournalArticle</b:SourceType>
    <b:Guid>{36FC8BB2-9286-45C9-84DE-3D86DC6BC34E}</b:Guid>
    <b:Title>Retención en la educación universitaria en Chile. Aplicación de un modelo de ecuaciones estructurales</b:Title>
    <b:Year>2018</b:Year>
    <b:Publisher>ANUIES</b:Publisher>
    <b:Author>
      <b:Author>
        <b:NameList>
          <b:Person>
            <b:Last>Ayala</b:Last>
            <b:First>María</b:First>
            <b:Middle>Constanza</b:Middle>
          </b:Person>
          <b:Person>
            <b:Last>Atencio</b:Last>
            <b:First>Iván</b:First>
          </b:Person>
        </b:NameList>
      </b:Author>
    </b:Author>
    <b:JournalName>Revista de la Educación Superior</b:JournalName>
    <b:Pages>93-118</b:Pages>
    <b:Issue>47 (186)</b:Issue>
    <b:YearAccessed>2018</b:YearAccessed>
    <b:MonthAccessed>Octubre</b:MonthAccessed>
    <b:DayAccessed>16</b:DayAccessed>
    <b:RefOrder>8</b:RefOrder>
  </b:Source>
  <b:Source>
    <b:Tag>Ver16</b:Tag>
    <b:SourceType>JournalArticle</b:SourceType>
    <b:Guid>{1867D0C1-C99D-4AC3-9E54-E7037AFEAD3B}</b:Guid>
    <b:Author>
      <b:Author>
        <b:NameList>
          <b:Person>
            <b:Last>Vergel-Ortega</b:Last>
            <b:First>M.</b:First>
          </b:Person>
          <b:Person>
            <b:Last>Martínez-Lozano</b:Last>
            <b:First>J.J.</b:First>
          </b:Person>
          <b:Person>
            <b:Last>Zafra-Tristancho</b:Last>
            <b:First>S.L.</b:First>
          </b:Person>
        </b:NameList>
      </b:Author>
    </b:Author>
    <b:Title>Factores asociados al rendimiento académico en adultos</b:Title>
    <b:JournalName>Revista Científica</b:JournalName>
    <b:Year>2016</b:Year>
    <b:Pages>206-215</b:Pages>
    <b:Issue>25</b:Issue>
    <b:YearAccessed>2018</b:YearAccessed>
    <b:MonthAccessed>Octubre</b:MonthAccessed>
    <b:DayAccessed>16</b:DayAccessed>
    <b:DOI>10.14483/udistrital.jour.RC.2016.25.a4</b:DOI>
    <b:RefOrder>7</b:RefOrder>
  </b:Source>
  <b:Source>
    <b:Tag>Vél17</b:Tag>
    <b:SourceType>JournalArticle</b:SourceType>
    <b:Guid>{A9610D03-8951-42C7-83EE-1F3AEB9E12B7}</b:Guid>
    <b:Author>
      <b:Author>
        <b:NameList>
          <b:Person>
            <b:Last>Velázquez Narváez</b:Last>
            <b:First>Y</b:First>
          </b:Person>
          <b:Person>
            <b:Last>Medina</b:Last>
            <b:First>González</b:First>
          </b:Person>
          <b:Person>
            <b:Last>Mario</b:Last>
          </b:Person>
        </b:NameList>
      </b:Author>
    </b:Author>
    <b:Title>Factores asociados a la permanencia de estudiantesuniversitarios: caso UAMM-UAT</b:Title>
    <b:JournalName>Revista de la Educación Superior</b:JournalName>
    <b:Year>2017</b:Year>
    <b:Pages>117-138</b:Pages>
    <b:Issue>46</b:Issue>
    <b:YearAccessed>2018</b:YearAccessed>
    <b:MonthAccessed>Octubre</b:MonthAccessed>
    <b:DayAccessed>16</b:DayAccessed>
    <b:DOI>https://doi.org/10.1016/j.resu.2017.11.003</b:DOI>
    <b:RefOrder>9</b:RefOrder>
  </b:Source>
  <b:Source>
    <b:Tag>alC16</b:Tag>
    <b:SourceType>JournalArticle</b:SourceType>
    <b:Guid>{19B14BB5-64F6-444F-95AE-D7283B3E43D0}</b:Guid>
    <b:Author>
      <b:Author>
        <b:NameList>
          <b:Person>
            <b:Last>Elías Jímenez</b:Last>
            <b:First>C.I.</b:First>
          </b:Person>
          <b:Person>
            <b:Last>Caldera</b:Last>
            <b:First>Juan</b:First>
          </b:Person>
          <b:Person>
            <b:Last>Reynoso</b:Last>
            <b:First>Oscar</b:First>
          </b:Person>
          <b:Person>
            <b:Last>Zamora</b:Last>
            <b:First>María</b:First>
            <b:Middle>del Rosario</b:Middle>
          </b:Person>
        </b:NameList>
      </b:Author>
    </b:Author>
    <b:Title>Variables asociadas al rendimiento en el Examen General para el Egreso de Licenciatura. El caso de Psicología</b:Title>
    <b:JournalName>Revista de la Educación Superior</b:JournalName>
    <b:Year>2016</b:Year>
    <b:Pages>75-88</b:Pages>
    <b:Month>Octubre</b:Month>
    <b:Day>31</b:Day>
    <b:Publisher>ANUIES</b:Publisher>
    <b:Issue>45 (180)</b:Issue>
    <b:YearAccessed>2018</b:YearAccessed>
    <b:MonthAccessed>Octubre</b:MonthAccessed>
    <b:DayAccessed>16</b:DayAccessed>
    <b:DOI>http://dx.doi.org/10.1016/j.resu.2016.06.008</b:DOI>
    <b:RefOrder>10</b:RefOrder>
  </b:Source>
  <b:Source>
    <b:Tag>Ede03</b:Tag>
    <b:SourceType>JournalArticle</b:SourceType>
    <b:Guid>{6AE25A7F-07B5-48F6-AA6D-57602B324164}</b:Guid>
    <b:Title>EL RENDIMIENTO ACADÉMICO: CONCEPTO, INVESTIGACIÓN Y DESARROLLO</b:Title>
    <b:Year>2003</b:Year>
    <b:Author>
      <b:Author>
        <b:NameList>
          <b:Person>
            <b:Last>Edel</b:Last>
            <b:First>Rubén</b:First>
          </b:Person>
        </b:NameList>
      </b:Author>
    </b:Author>
    <b:JournalName>REICE - Revista Electrónica Iberoamericana sobre Calidad, Eficacia y Cambio en Educación</b:JournalName>
    <b:Pages>2-15</b:Pages>
    <b:Volume>I</b:Volume>
    <b:Issue>2</b:Issue>
    <b:URL>http://www.ice.deusto.es/rinace/reice/vol1n2/Edel.pdf</b:URL>
    <b:RefOrder>4</b:RefOrder>
  </b:Source>
  <b:Source>
    <b:Tag>Mon07</b:Tag>
    <b:SourceType>JournalArticle</b:SourceType>
    <b:Guid>{1D3B9727-470E-4CCD-B587-3E36150CB3AF}</b:Guid>
    <b:Author>
      <b:Author>
        <b:NameList>
          <b:Person>
            <b:Last>Montero Rojas</b:Last>
            <b:First>E</b:First>
          </b:Person>
          <b:Person>
            <b:Last>Villalobos Palma</b:Last>
            <b:First>J</b:First>
          </b:Person>
          <b:Person>
            <b:Last>Valverde Bermúdez</b:Last>
            <b:First>A</b:First>
          </b:Person>
        </b:NameList>
      </b:Author>
    </b:Author>
    <b:Title>Factores institucionales, pedagógicos, psicosociales y sociodemográficos asociados al rendimiento académico en la Universidad de Costa Rica: Un análisis multinivel.</b:Title>
    <b:JournalName>RELIEVE</b:JournalName>
    <b:Year>2007</b:Year>
    <b:Pages>215-234</b:Pages>
    <b:Volume>XIII</b:Volume>
    <b:Issue>2</b:Issue>
    <b:URL>www.uv.es/RELIEVE/v13n2/RELIEVEv13n2_5.htm</b:URL>
    <b:RefOrder>5</b:RefOrder>
  </b:Source>
  <b:Source>
    <b:Tag>Mai18</b:Tag>
    <b:SourceType>JournalArticle</b:SourceType>
    <b:Guid>{F116CA9F-A022-461A-B729-DE38F3A2FF47}</b:Guid>
    <b:Author>
      <b:Author>
        <b:NameList>
          <b:Person>
            <b:Last>Mainardi-Remis</b:Last>
            <b:First>Ana-Inés</b:First>
          </b:Person>
        </b:NameList>
      </b:Author>
    </b:Author>
    <b:Title>Incidencia de factores institucionales y de la autoestima en las trayectorias académicas de estudiantes con discapacidad</b:Title>
    <b:JournalName>Revista Iberoamericana de Educación Superior (RIES)</b:JournalName>
    <b:Year>2018</b:Year>
    <b:Pages>171-190</b:Pages>
    <b:City>México</b:City>
    <b:Publisher>UNAM-IISUE/Universia</b:Publisher>
    <b:Volume>XI</b:Volume>
    <b:Issue>26</b:Issue>
    <b:YearAccessed>2018</b:YearAccessed>
    <b:MonthAccessed>10</b:MonthAccessed>
    <b:DayAccessed>16</b:DayAccessed>
    <b:RefOrder>6</b:RefOrder>
  </b:Source>
  <b:Source>
    <b:Tag>ElT15</b:Tag>
    <b:SourceType>ArticleInAPeriodical</b:SourceType>
    <b:Guid>{58F4A973-FFEC-4A61-B895-A1876CC7E007}</b:Guid>
    <b:Title>Un universitario gastaría en promedio $ 4.184 al año en aranceles en Ecuador</b:Title>
    <b:Year>2015</b:Year>
    <b:Pages>1-3</b:Pages>
    <b:Author>
      <b:Author>
        <b:Corporate>El Telégrafo</b:Corporate>
      </b:Author>
    </b:Author>
    <b:PeriodicalTitle>El Telégrafo</b:PeriodicalTitle>
    <b:Month>Agosto</b:Month>
    <b:Day>19</b:Day>
    <b:YearAccessed>2018</b:YearAccessed>
    <b:MonthAccessed>Octubre</b:MonthAccessed>
    <b:DayAccessed>16</b:DayAccessed>
    <b:URL>https://www.eltelegrafo.com.ec/noticias/sociedad/6/un-universitario-gastaria-en-promedio-4-184-al-ano-en-aranceles-en-ecuador</b:URL>
    <b:RefOrder>3</b:RefOrder>
  </b:Source>
  <b:Source>
    <b:Tag>Gar07</b:Tag>
    <b:SourceType>JournalArticle</b:SourceType>
    <b:Guid>{9F126765-E3D0-4637-8831-304DEE9CCCA8}</b:Guid>
    <b:Title>Factores asociados al rendimiento académico en estudiantes universitarios, una reflexión desde la calidad de la educación superior pública</b:Title>
    <b:Year>2007</b:Year>
    <b:Pages>43-63</b:Pages>
    <b:Author>
      <b:Author>
        <b:NameList>
          <b:Person>
            <b:Last>Garbanzo Vargas</b:Last>
            <b:First>Guiselle</b:First>
            <b:Middle>María</b:Middle>
          </b:Person>
        </b:NameList>
      </b:Author>
    </b:Author>
    <b:JournalName>Educación</b:JournalName>
    <b:City>San Pedro, Montes de Oca</b:City>
    <b:Publisher>Universidad de Costa Rica</b:Publisher>
    <b:Volume>XXXI</b:Volume>
    <b:Issue>1</b:Issue>
    <b:StandardNumber>ISSN: 0379-7082</b:StandardNumber>
    <b:YearAccessed>2018</b:YearAccessed>
    <b:MonthAccessed>10</b:MonthAccessed>
    <b:DayAccessed>17</b:DayAccessed>
    <b:URL>http://www.redalyc.org/articulo.oa?id=44031103</b:URL>
    <b:RefOrder>11</b:RefOrder>
  </b:Source>
  <b:Source>
    <b:Tag>Tej07</b:Tag>
    <b:SourceType>JournalArticle</b:SourceType>
    <b:Guid>{222F876A-06AD-40D1-A241-114EC38E9E18}</b:Guid>
    <b:Author>
      <b:Author>
        <b:NameList>
          <b:Person>
            <b:Last>Tejedor</b:Last>
            <b:First>F.J</b:First>
          </b:Person>
          <b:Person>
            <b:Last>García-Valcárcel</b:Last>
            <b:First>A.</b:First>
          </b:Person>
        </b:NameList>
      </b:Author>
    </b:Author>
    <b:Title>CAUSAS DEL BAJO RENDIMIENTO DEL ESTUDIANTE UNIVERSITARIO (EN OPINIÓN DE LOS PROFESORES Y ALUMNOS). PROPUESTAS DE MEJORA EN EL MARCO DEL EEES</b:Title>
    <b:JournalName>Revista de Educación</b:JournalName>
    <b:Year>2007</b:Year>
    <b:Pages>443-473</b:Pages>
    <b:Issue>343</b:Issue>
    <b:YearAccessed>2018</b:YearAccessed>
    <b:MonthAccessed>Octubre</b:MonthAccessed>
    <b:DayAccessed>17</b:DayAccessed>
    <b:RefOrder>12</b:RefOrder>
  </b:Source>
  <b:Source>
    <b:Tag>Rui10</b:Tag>
    <b:SourceType>JournalArticle</b:SourceType>
    <b:Guid>{F10B1695-0507-40A0-B397-CE1870F71617}</b:Guid>
    <b:Author>
      <b:Author>
        <b:NameList>
          <b:Person>
            <b:Last>Ruiz</b:Last>
            <b:First>Miguel</b:First>
          </b:Person>
          <b:Person>
            <b:Last>Pardo</b:Last>
            <b:First>Antonio</b:First>
          </b:Person>
          <b:Person>
            <b:Last>San Martín</b:Last>
            <b:First>Rafael</b:First>
          </b:Person>
        </b:NameList>
      </b:Author>
    </b:Author>
    <b:Title>MODELOS DE ECUACIONES ESTRUCTURALES</b:Title>
    <b:JournalName>Papeles del Psicólogo</b:JournalName>
    <b:Year>2010</b:Year>
    <b:Pages>34-45</b:Pages>
    <b:City>Madrid</b:City>
    <b:Publisher>Consejo General de Colegios Oficiales de Psicólogos</b:Publisher>
    <b:Volume>XXXI</b:Volume>
    <b:Issue>1</b:Issue>
    <b:YearAccessed>2018</b:YearAccessed>
    <b:MonthAccessed>Octubre</b:MonthAccessed>
    <b:DayAccessed>17</b:DayAccessed>
    <b:URL>http://www.redalyc.org/articulo.oa?id=77812441004</b:URL>
    <b:RefOrder>13</b:RefOrder>
  </b:Source>
  <b:Source>
    <b:Tag>Her18</b:Tag>
    <b:SourceType>JournalArticle</b:SourceType>
    <b:Guid>{35C219B8-0BEA-47C1-B255-D0A7A3F1D3CC}</b:Guid>
    <b:Author>
      <b:Author>
        <b:NameList>
          <b:Person>
            <b:Last>Herrera</b:Last>
            <b:First>Juan</b:First>
          </b:Person>
          <b:Person>
            <b:Last>De Jesús Rahmer</b:Last>
            <b:First>Bruno</b:First>
          </b:Person>
        </b:NameList>
      </b:Author>
    </b:Author>
    <b:Title>Aplicación del análisis factorial exploratorio en la escala de satisfacción de los usuarios. Caso de estudio para una organización no gubernamental</b:Title>
    <b:JournalName>Espacios</b:JournalName>
    <b:Year>2018</b:Year>
    <b:Pages>19-35</b:Pages>
    <b:Volume>XXXIX</b:Volume>
    <b:Issue>32</b:Issue>
    <b:StandardNumber>ISSN 0798 1015</b:StandardNumber>
    <b:YearAccessed>2018</b:YearAccessed>
    <b:MonthAccessed>Octubre</b:MonthAccessed>
    <b:DayAccessed>17</b:DayAccessed>
    <b:RefOrder>14</b:RefOrder>
  </b:Source>
  <b:Source>
    <b:Tag>XLS17</b:Tag>
    <b:SourceType>InternetSite</b:SourceType>
    <b:Guid>{3363D4BE-8906-4C57-AEF0-E340BB1538D8}</b:Guid>
    <b:Title>Modelo PLS básico: creación y ejecución</b:Title>
    <b:Year>2017</b:Year>
    <b:Author>
      <b:Author>
        <b:Corporate>XLSTAT</b:Corporate>
      </b:Author>
    </b:Author>
    <b:InternetSiteTitle>Centro de soporte XLSTAT</b:InternetSiteTitle>
    <b:Month>Octubre</b:Month>
    <b:Day>20</b:Day>
    <b:URL>https://help.xlstat.com/customer/es/portal/articles/2062300-create-run-a-basic-pls-path-modeling-project?_ga=2.151802937.183091945.1540818555-1660827371.1540316320</b:URL>
    <b:YearAccessed>2018</b:YearAccessed>
    <b:MonthAccessed>Octubre</b:MonthAccessed>
    <b:DayAccessed>17</b:DayAccessed>
    <b:RefOrder>15</b:RefOrder>
  </b:Source>
  <b:Source>
    <b:Tag>Mon14</b:Tag>
    <b:SourceType>Report</b:SourceType>
    <b:Guid>{D4F918DF-5D37-430F-9A7C-0BBF25B0EFBD}</b:Guid>
    <b:Author>
      <b:Author>
        <b:NameList>
          <b:Person>
            <b:Last>Montaño</b:Last>
            <b:First>Ma.</b:First>
            <b:Middle>Angélica</b:Middle>
          </b:Person>
        </b:NameList>
      </b:Author>
    </b:Author>
    <b:Title>Modelo de desarrollo económico local para la diversificación de la estructura Productiva y la Articulación del Tejido Empresarial en Baja California Sur</b:Title>
    <b:Year>2014</b:Year>
    <b:Publisher>UNIVERSIDAD AUTONOMA DE BAJA CALIFORNIA</b:Publisher>
    <b:City>TIJUANA, BAJA CALIFORNIA</b:City>
    <b:Department>PROGRAMA DE DOCTORADO EN CIENCIAS ADMINISTRATIVAS</b:Department>
    <b:Institution>UNIVERSIDAD AUTONOMA DE BAJA CALIFORNIA</b:Institution>
    <b:ThesisType>Tesis Doctoral</b:ThesisType>
    <b:YearAccessed>2018</b:YearAccessed>
    <b:MonthAccessed>Octubre</b:MonthAccessed>
    <b:DayAccessed>17</b:DayAccessed>
    <b:URL>http://www.eumed.net/tesis-doctorales/2014/mama/estadistica-multivariante.htm</b:URL>
    <b:RefOrder>16</b:RefOrder>
  </b:Source>
</b:Sources>
</file>

<file path=customXml/itemProps1.xml><?xml version="1.0" encoding="utf-8"?>
<ds:datastoreItem xmlns:ds="http://schemas.openxmlformats.org/officeDocument/2006/customXml" ds:itemID="{41CDB928-ECFD-4300-8DE5-67D0A3EA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4976</Words>
  <Characters>27370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salazar</dc:creator>
  <cp:keywords/>
  <dc:description/>
  <cp:lastModifiedBy>Home-PC</cp:lastModifiedBy>
  <cp:revision>3</cp:revision>
  <cp:lastPrinted>2020-04-23T00:43:00Z</cp:lastPrinted>
  <dcterms:created xsi:type="dcterms:W3CDTF">2020-04-23T00:42:00Z</dcterms:created>
  <dcterms:modified xsi:type="dcterms:W3CDTF">2020-04-23T00:44:00Z</dcterms:modified>
</cp:coreProperties>
</file>